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Default="003F66CB" w:rsidP="00F350F8">
                            <w:pPr>
                              <w:spacing w:line="360" w:lineRule="auto"/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Default="003F66CB" w:rsidP="00F350F8">
                      <w:pPr>
                        <w:spacing w:line="360" w:lineRule="auto"/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</w:t>
      </w:r>
      <w:r w:rsidR="00CD22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CD2208" w:rsidRDefault="00CD220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CD2208" w:rsidRPr="000C5751" w:rsidRDefault="00CD220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</w:t>
      </w:r>
      <w:r w:rsidRPr="000C5751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ПОСТАНОВЛЕНИЕ</w:t>
      </w:r>
    </w:p>
    <w:p w:rsidR="00F350F8" w:rsidRPr="000C5751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0C5751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0C575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0C57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</w:t>
      </w:r>
      <w:bookmarkStart w:id="0" w:name="_GoBack"/>
      <w:bookmarkEnd w:id="0"/>
      <w:r w:rsidR="00A4549A" w:rsidRPr="000C57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  № _          </w:t>
      </w:r>
    </w:p>
    <w:p w:rsidR="009912D7" w:rsidRPr="000C5751" w:rsidRDefault="003F66CB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трации </w:t>
      </w:r>
      <w:r w:rsidR="00F657E8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19.03.2021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№ 1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16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регламент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0BC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</w:t>
      </w:r>
      <w:r w:rsidR="00C159F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C159F4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(направление) уведомления о соответствии (несоответствии)</w:t>
      </w:r>
    </w:p>
    <w:p w:rsidR="009912D7" w:rsidRPr="000C5751" w:rsidRDefault="009912D7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</w:t>
      </w:r>
    </w:p>
    <w:p w:rsidR="009912D7" w:rsidRPr="000C5751" w:rsidRDefault="009912D7" w:rsidP="009912D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строительства или садового дома требованиям законодательства о</w:t>
      </w:r>
    </w:p>
    <w:p w:rsidR="00C159F4" w:rsidRPr="000C5751" w:rsidRDefault="009912D7" w:rsidP="009912D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градостроительной деятельности</w:t>
      </w:r>
      <w:r w:rsidR="00A4549A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0C5751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0C5751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0C5751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остановлением Правительства 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Российской Федерации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25.12.2021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85884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2490 </w:t>
      </w:r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</w:t>
      </w:r>
      <w:proofErr w:type="gramStart"/>
      <w:r w:rsidR="00984E5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</w:t>
      </w:r>
      <w:proofErr w:type="gramEnd"/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Клявлинский Самарской области, 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</w:t>
      </w:r>
      <w:r w:rsidR="0087416C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иципального района Клявлинский</w:t>
      </w:r>
      <w:r w:rsidR="001D2AD5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87416C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E688E" w:rsidRPr="000C5751" w:rsidRDefault="005E688E" w:rsidP="005E2F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  <w:r w:rsidR="005E2F3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муниципального района Клявлинский Самарской области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E2F3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19.03.2021 г. № 116 «Об утверждении Административного регламента предоставления муниципальной услуги «Выдача (направление)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</w:t>
      </w:r>
      <w:r w:rsidR="005E2F3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5E2F37" w:rsidRPr="000C5751" w:rsidRDefault="005E2F37" w:rsidP="005E2F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</w:t>
      </w:r>
      <w:r w:rsidR="000F22F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«Выдача (направление) уведомления о соответствии (несоответствии) </w:t>
      </w:r>
      <w:proofErr w:type="gramStart"/>
      <w:r w:rsidR="000F22F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="000F22F2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деятельности»:</w:t>
      </w:r>
    </w:p>
    <w:p w:rsidR="006D2A17" w:rsidRPr="000C5751" w:rsidRDefault="000F22F2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="005E688E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п.п</w:t>
      </w:r>
      <w:proofErr w:type="spellEnd"/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 2.</w:t>
      </w:r>
      <w:r w:rsidR="009912D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6.1</w:t>
      </w:r>
      <w:r w:rsidR="005E688E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исключить;</w:t>
      </w:r>
    </w:p>
    <w:p w:rsidR="005E688E" w:rsidRPr="009912D7" w:rsidRDefault="000F22F2" w:rsidP="009912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риложение </w:t>
      </w:r>
      <w:r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D2A17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 к Административному регламенту по предоставлению муниципальной услуги 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Выдача (направление) уведомления о соответствии (несоответствии) </w:t>
      </w:r>
      <w:proofErr w:type="gramStart"/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="009912D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D2A17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изложить в новой редакции, согласно приложению к </w:t>
      </w:r>
      <w:r w:rsidR="00357A61" w:rsidRPr="000C5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настоящему</w:t>
      </w:r>
      <w:r w:rsidR="00357A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</w:t>
      </w:r>
      <w:r w:rsidR="00357A6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159F4" w:rsidRPr="005E10D8" w:rsidRDefault="003725B5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2</w:t>
      </w:r>
      <w:r w:rsidR="005E688E" w:rsidRPr="005E10D8">
        <w:rPr>
          <w:rFonts w:ascii="Times New Roman" w:hAnsi="Times New Roman"/>
          <w:sz w:val="28"/>
          <w:szCs w:val="28"/>
        </w:rPr>
        <w:t xml:space="preserve">. </w:t>
      </w:r>
      <w:r w:rsidR="00A4549A" w:rsidRPr="005E10D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0C5751" w:rsidRPr="000C57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49A" w:rsidRPr="005E10D8">
        <w:rPr>
          <w:rFonts w:ascii="Times New Roman" w:hAnsi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района Клявлинский.</w:t>
      </w:r>
    </w:p>
    <w:p w:rsidR="006D2A17" w:rsidRDefault="003725B5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дня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опубликования.</w:t>
      </w:r>
    </w:p>
    <w:p w:rsidR="00C159F4" w:rsidRPr="005E10D8" w:rsidRDefault="003725B5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</w:t>
      </w:r>
      <w:proofErr w:type="spellStart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proofErr w:type="spellStart"/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</w:t>
      </w:r>
      <w:proofErr w:type="spellEnd"/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Г.А.</w:t>
      </w:r>
    </w:p>
    <w:p w:rsidR="00C159F4" w:rsidRPr="005E10D8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Pr="005E10D8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5E10D8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5E10D8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7C3DBB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ФроловаИВ</w:t>
      </w:r>
      <w:proofErr w:type="spellEnd"/>
    </w:p>
    <w:p w:rsidR="00A23A19" w:rsidRDefault="00A23A19" w:rsidP="00A4549A">
      <w:pPr>
        <w:pStyle w:val="ae"/>
        <w:ind w:left="0"/>
        <w:jc w:val="left"/>
        <w:rPr>
          <w:b/>
          <w:bCs/>
          <w:lang w:val="ru-RU"/>
        </w:rPr>
      </w:pPr>
    </w:p>
    <w:p w:rsidR="006D2A17" w:rsidRDefault="006D2A17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50103A" w:rsidRDefault="0050103A" w:rsidP="00A4549A">
      <w:pPr>
        <w:pStyle w:val="ae"/>
        <w:ind w:left="0"/>
        <w:jc w:val="left"/>
        <w:rPr>
          <w:b/>
          <w:bCs/>
          <w:lang w:val="ru-RU"/>
        </w:rPr>
      </w:pPr>
    </w:p>
    <w:p w:rsidR="001E547D" w:rsidRPr="000C5751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 xml:space="preserve">Приложение к постановлению </w:t>
      </w:r>
    </w:p>
    <w:p w:rsidR="001E547D" w:rsidRPr="000C5751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 xml:space="preserve">администрации муниципального района </w:t>
      </w:r>
    </w:p>
    <w:p w:rsidR="001E547D" w:rsidRDefault="001E547D" w:rsidP="001E547D">
      <w:pPr>
        <w:pStyle w:val="1"/>
        <w:ind w:right="-8"/>
        <w:jc w:val="right"/>
        <w:rPr>
          <w:b w:val="0"/>
          <w:sz w:val="24"/>
        </w:rPr>
      </w:pPr>
      <w:r w:rsidRPr="000C5751">
        <w:rPr>
          <w:b w:val="0"/>
          <w:sz w:val="24"/>
        </w:rPr>
        <w:t>Клявлинский Самарской области</w:t>
      </w:r>
      <w:r>
        <w:rPr>
          <w:b w:val="0"/>
          <w:sz w:val="24"/>
        </w:rPr>
        <w:t xml:space="preserve">  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 xml:space="preserve"> № от.2023г</w:t>
      </w:r>
    </w:p>
    <w:p w:rsidR="001E547D" w:rsidRDefault="001E547D" w:rsidP="00765899">
      <w:pPr>
        <w:widowControl/>
        <w:tabs>
          <w:tab w:val="left" w:pos="5970"/>
        </w:tabs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</w:p>
    <w:p w:rsidR="00765899" w:rsidRPr="00765899" w:rsidRDefault="00765899" w:rsidP="00765899">
      <w:pPr>
        <w:widowControl/>
        <w:tabs>
          <w:tab w:val="left" w:pos="5970"/>
        </w:tabs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«</w:t>
      </w: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Приложение №</w:t>
      </w:r>
      <w:r w:rsidR="002534ED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</w:t>
      </w: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1</w:t>
      </w:r>
    </w:p>
    <w:p w:rsidR="00765899" w:rsidRPr="00765899" w:rsidRDefault="00765899" w:rsidP="00765899">
      <w:pPr>
        <w:framePr w:hSpace="180" w:wrap="around" w:vAnchor="text" w:hAnchor="margin" w:y="-77"/>
        <w:shd w:val="clear" w:color="auto" w:fill="FFFFFF"/>
        <w:ind w:right="-57"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76589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        </w:t>
      </w:r>
    </w:p>
    <w:p w:rsidR="00765899" w:rsidRPr="00765899" w:rsidRDefault="00765899" w:rsidP="00765899">
      <w:pPr>
        <w:widowControl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Cs w:val="28"/>
          <w:lang w:eastAsia="ar-SA" w:bidi="ar-SA"/>
        </w:rPr>
        <w:t xml:space="preserve">к административному регламенту </w:t>
      </w:r>
      <w:r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предоставления </w:t>
      </w:r>
    </w:p>
    <w:p w:rsidR="00765899" w:rsidRDefault="00765899" w:rsidP="0076589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lastRenderedPageBreak/>
        <w:t xml:space="preserve">  муниципальной услуги «Направление уведомления о соответствии (несоответствии) </w:t>
      </w:r>
      <w:proofErr w:type="gramStart"/>
      <w:r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t>построенных</w:t>
      </w:r>
      <w:proofErr w:type="gramEnd"/>
      <w:r w:rsidRPr="0076589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E547D" w:rsidRPr="00765899" w:rsidRDefault="001E547D" w:rsidP="0076589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:rsidR="00765899" w:rsidRPr="00765899" w:rsidRDefault="00765899" w:rsidP="0076589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65899" w:rsidRPr="00765899" w:rsidTr="00D7537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proofErr w:type="gramEnd"/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765899" w:rsidRPr="00765899" w:rsidRDefault="00765899" w:rsidP="00765899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Отдел архитектуры и градостроительства </w:t>
      </w:r>
      <w:r w:rsidR="003B6639" w:rsidRPr="000C57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муниципального района Клявлинский Самарской области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жительства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нахождения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или описание </w:t>
            </w: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местоположения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2.5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параметрах: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3.3.1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3.3.2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Высота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3.3.3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c>
          <w:tcPr>
            <w:tcW w:w="850" w:type="dxa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3.3.4</w:t>
            </w:r>
          </w:p>
        </w:tc>
        <w:tc>
          <w:tcPr>
            <w:tcW w:w="4423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Площадь застройки</w:t>
            </w:r>
          </w:p>
        </w:tc>
        <w:tc>
          <w:tcPr>
            <w:tcW w:w="4706" w:type="dxa"/>
          </w:tcPr>
          <w:p w:rsidR="00765899" w:rsidRPr="00765899" w:rsidRDefault="00765899" w:rsidP="00765899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vanish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4. Схематичное изображение </w:t>
      </w:r>
      <w:proofErr w:type="gramStart"/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построенного</w:t>
      </w:r>
      <w:proofErr w:type="gramEnd"/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или реконструированного </w:t>
      </w:r>
    </w:p>
    <w:tbl>
      <w:tblPr>
        <w:tblpPr w:leftFromText="180" w:rightFromText="180" w:vertAnchor="page" w:horzAnchor="margin" w:tblpY="20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765899" w:rsidRPr="00765899" w:rsidTr="00765899">
        <w:trPr>
          <w:trHeight w:val="8637"/>
        </w:trPr>
        <w:tc>
          <w:tcPr>
            <w:tcW w:w="9951" w:type="dxa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объекта капитального строительства на земельном участке</w:t>
      </w:r>
    </w:p>
    <w:p w:rsid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Почтовый адрес и (или) адрес электронной почты для связи: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spacing w:before="240"/>
        <w:ind w:firstLine="567"/>
        <w:jc w:val="both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Уведомление о соответствии </w:t>
      </w:r>
      <w:proofErr w:type="gramStart"/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построенных</w:t>
      </w:r>
      <w:proofErr w:type="gramEnd"/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480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</w:t>
      </w:r>
      <w:r w:rsidRPr="00765899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>субъекта Российской Федерации или органе местного самоуправления, в том числе через многофункциональный центр)</w:t>
      </w:r>
    </w:p>
    <w:p w:rsidR="00765899" w:rsidRPr="00765899" w:rsidRDefault="00765899" w:rsidP="00765899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подтверждаю, что  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spacing w:line="24" w:lineRule="auto"/>
        <w:ind w:left="558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 индивидуального жилищного строительства или садовый дом)</w:t>
      </w:r>
    </w:p>
    <w:p w:rsidR="00765899" w:rsidRPr="00765899" w:rsidRDefault="00765899" w:rsidP="00765899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"/>
          <w:szCs w:val="2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не </w:t>
      </w:r>
      <w:proofErr w:type="gramStart"/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предназначен</w:t>
      </w:r>
      <w:proofErr w:type="gramEnd"/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765899" w:rsidRPr="00765899" w:rsidRDefault="00765899" w:rsidP="00765899">
      <w:pPr>
        <w:widowControl/>
        <w:tabs>
          <w:tab w:val="right" w:pos="9923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.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spacing w:after="480"/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(реквизиты платежного документа)</w:t>
      </w:r>
    </w:p>
    <w:p w:rsidR="00765899" w:rsidRPr="00765899" w:rsidRDefault="00765899" w:rsidP="00765899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я  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ind w:left="376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(фамилия, имя, отчество (при наличии)</w:t>
      </w:r>
      <w:proofErr w:type="gramEnd"/>
    </w:p>
    <w:p w:rsidR="00765899" w:rsidRPr="00765899" w:rsidRDefault="00765899" w:rsidP="00765899">
      <w:pPr>
        <w:widowControl/>
        <w:spacing w:after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65899" w:rsidRPr="00765899" w:rsidTr="00D7537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65899" w:rsidRPr="00765899" w:rsidTr="00D7537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65899" w:rsidRPr="00765899" w:rsidRDefault="00765899" w:rsidP="007658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58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765899" w:rsidRPr="00765899" w:rsidRDefault="00765899" w:rsidP="00765899">
      <w:pPr>
        <w:widowControl/>
        <w:spacing w:before="360" w:after="480"/>
        <w:ind w:left="567" w:righ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(при наличии)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уведомлению прилагается:</w:t>
      </w:r>
    </w:p>
    <w:p w:rsidR="00765899" w:rsidRPr="00CF4992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</w:pP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1)</w:t>
      </w:r>
      <w:r w:rsidRPr="00CF4992">
        <w:rPr>
          <w:highlight w:val="yellow"/>
        </w:rPr>
        <w:t xml:space="preserve"> </w:t>
      </w: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Технический план объекта индивидуального жилищного строительства или</w:t>
      </w: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F499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садового дома</w:t>
      </w:r>
    </w:p>
    <w:p w:rsidR="00765899" w:rsidRPr="00765899" w:rsidRDefault="00765899" w:rsidP="00765899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65899" w:rsidRPr="00765899" w:rsidRDefault="00765899" w:rsidP="0076589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658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(документы, предусмотренные частью 16 статьи 55 Градостроительного кодекса Российской Федерации)</w:t>
      </w:r>
    </w:p>
    <w:p w:rsidR="006D2A17" w:rsidRDefault="006D2A17" w:rsidP="00765899">
      <w:pPr>
        <w:pStyle w:val="1"/>
        <w:ind w:left="0" w:right="-8"/>
        <w:jc w:val="left"/>
        <w:rPr>
          <w:b w:val="0"/>
          <w:sz w:val="24"/>
        </w:rPr>
      </w:pPr>
    </w:p>
    <w:sectPr w:rsidR="006D2A17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F1" w:rsidRDefault="00F05AF1" w:rsidP="00956A29">
      <w:r>
        <w:separator/>
      </w:r>
    </w:p>
  </w:endnote>
  <w:endnote w:type="continuationSeparator" w:id="0">
    <w:p w:rsidR="00F05AF1" w:rsidRDefault="00F05AF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F1" w:rsidRDefault="00F05AF1" w:rsidP="00956A29">
      <w:r>
        <w:separator/>
      </w:r>
    </w:p>
  </w:footnote>
  <w:footnote w:type="continuationSeparator" w:id="0">
    <w:p w:rsidR="00F05AF1" w:rsidRDefault="00F05AF1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85FCA"/>
    <w:rsid w:val="00094CB7"/>
    <w:rsid w:val="000B7729"/>
    <w:rsid w:val="000C24B1"/>
    <w:rsid w:val="000C5751"/>
    <w:rsid w:val="000D56D7"/>
    <w:rsid w:val="000F22F2"/>
    <w:rsid w:val="001022B5"/>
    <w:rsid w:val="00110DFE"/>
    <w:rsid w:val="00141827"/>
    <w:rsid w:val="00145FF0"/>
    <w:rsid w:val="0015086B"/>
    <w:rsid w:val="00157A56"/>
    <w:rsid w:val="00167FF1"/>
    <w:rsid w:val="0018404B"/>
    <w:rsid w:val="001919EA"/>
    <w:rsid w:val="0019786A"/>
    <w:rsid w:val="001A5451"/>
    <w:rsid w:val="001A5595"/>
    <w:rsid w:val="001D2AD5"/>
    <w:rsid w:val="001D376A"/>
    <w:rsid w:val="001E547D"/>
    <w:rsid w:val="002005AE"/>
    <w:rsid w:val="00200D3B"/>
    <w:rsid w:val="0020459B"/>
    <w:rsid w:val="002102EB"/>
    <w:rsid w:val="002208C4"/>
    <w:rsid w:val="002534ED"/>
    <w:rsid w:val="0025762E"/>
    <w:rsid w:val="00286615"/>
    <w:rsid w:val="002938BA"/>
    <w:rsid w:val="002A25E0"/>
    <w:rsid w:val="002A2E21"/>
    <w:rsid w:val="002A5CC0"/>
    <w:rsid w:val="002B0764"/>
    <w:rsid w:val="002C2CFF"/>
    <w:rsid w:val="002E73A2"/>
    <w:rsid w:val="00302E54"/>
    <w:rsid w:val="00315106"/>
    <w:rsid w:val="00321031"/>
    <w:rsid w:val="003219EA"/>
    <w:rsid w:val="003239DA"/>
    <w:rsid w:val="00326542"/>
    <w:rsid w:val="003409BD"/>
    <w:rsid w:val="003446AC"/>
    <w:rsid w:val="0035325C"/>
    <w:rsid w:val="00357A61"/>
    <w:rsid w:val="003652B8"/>
    <w:rsid w:val="003725B5"/>
    <w:rsid w:val="00376088"/>
    <w:rsid w:val="003812A4"/>
    <w:rsid w:val="003868EA"/>
    <w:rsid w:val="00392521"/>
    <w:rsid w:val="003A01F8"/>
    <w:rsid w:val="003B2CD3"/>
    <w:rsid w:val="003B540B"/>
    <w:rsid w:val="003B6639"/>
    <w:rsid w:val="003E2910"/>
    <w:rsid w:val="003F34DE"/>
    <w:rsid w:val="003F66CB"/>
    <w:rsid w:val="004151F3"/>
    <w:rsid w:val="0042240D"/>
    <w:rsid w:val="00423C32"/>
    <w:rsid w:val="00426BAE"/>
    <w:rsid w:val="004461B9"/>
    <w:rsid w:val="00455378"/>
    <w:rsid w:val="00457B0A"/>
    <w:rsid w:val="004639C6"/>
    <w:rsid w:val="004675A9"/>
    <w:rsid w:val="00480E99"/>
    <w:rsid w:val="00485E10"/>
    <w:rsid w:val="004B3601"/>
    <w:rsid w:val="004B479A"/>
    <w:rsid w:val="004B7655"/>
    <w:rsid w:val="004C1282"/>
    <w:rsid w:val="004D0C59"/>
    <w:rsid w:val="004D5A74"/>
    <w:rsid w:val="004F4FA3"/>
    <w:rsid w:val="0050103A"/>
    <w:rsid w:val="00512A51"/>
    <w:rsid w:val="00522C3E"/>
    <w:rsid w:val="005555BB"/>
    <w:rsid w:val="005559D7"/>
    <w:rsid w:val="00581D56"/>
    <w:rsid w:val="00585884"/>
    <w:rsid w:val="0058757A"/>
    <w:rsid w:val="0059166F"/>
    <w:rsid w:val="005A512A"/>
    <w:rsid w:val="005B386B"/>
    <w:rsid w:val="005C17DD"/>
    <w:rsid w:val="005C5520"/>
    <w:rsid w:val="005E10D8"/>
    <w:rsid w:val="005E2F37"/>
    <w:rsid w:val="005E688E"/>
    <w:rsid w:val="005F7D70"/>
    <w:rsid w:val="006209A2"/>
    <w:rsid w:val="006223D5"/>
    <w:rsid w:val="00630FE6"/>
    <w:rsid w:val="00644616"/>
    <w:rsid w:val="00655734"/>
    <w:rsid w:val="00674EDA"/>
    <w:rsid w:val="00685227"/>
    <w:rsid w:val="006A1703"/>
    <w:rsid w:val="006A6E91"/>
    <w:rsid w:val="006B014D"/>
    <w:rsid w:val="006C6B43"/>
    <w:rsid w:val="006D2A17"/>
    <w:rsid w:val="006E4591"/>
    <w:rsid w:val="006E7E31"/>
    <w:rsid w:val="0070130C"/>
    <w:rsid w:val="00703FDE"/>
    <w:rsid w:val="0072300D"/>
    <w:rsid w:val="00742BDB"/>
    <w:rsid w:val="00752652"/>
    <w:rsid w:val="00760B81"/>
    <w:rsid w:val="00763A8A"/>
    <w:rsid w:val="007648E3"/>
    <w:rsid w:val="00765899"/>
    <w:rsid w:val="0077063E"/>
    <w:rsid w:val="00773116"/>
    <w:rsid w:val="00776C13"/>
    <w:rsid w:val="0079306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359A5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473F"/>
    <w:rsid w:val="00956A29"/>
    <w:rsid w:val="00962F85"/>
    <w:rsid w:val="00964A23"/>
    <w:rsid w:val="00984D6E"/>
    <w:rsid w:val="00984E52"/>
    <w:rsid w:val="00986F95"/>
    <w:rsid w:val="009912D7"/>
    <w:rsid w:val="009B1935"/>
    <w:rsid w:val="009B5A8D"/>
    <w:rsid w:val="009C0297"/>
    <w:rsid w:val="009C19D8"/>
    <w:rsid w:val="009D06F8"/>
    <w:rsid w:val="009F628C"/>
    <w:rsid w:val="00A03296"/>
    <w:rsid w:val="00A13AF1"/>
    <w:rsid w:val="00A23A19"/>
    <w:rsid w:val="00A42F4D"/>
    <w:rsid w:val="00A4549A"/>
    <w:rsid w:val="00A547A7"/>
    <w:rsid w:val="00A553EE"/>
    <w:rsid w:val="00A62EA9"/>
    <w:rsid w:val="00A9152C"/>
    <w:rsid w:val="00AA65E0"/>
    <w:rsid w:val="00AB0872"/>
    <w:rsid w:val="00AC609A"/>
    <w:rsid w:val="00AE02BA"/>
    <w:rsid w:val="00B006A4"/>
    <w:rsid w:val="00B065BB"/>
    <w:rsid w:val="00B252F8"/>
    <w:rsid w:val="00B30853"/>
    <w:rsid w:val="00B3404A"/>
    <w:rsid w:val="00B35B23"/>
    <w:rsid w:val="00B57FC9"/>
    <w:rsid w:val="00B62DBF"/>
    <w:rsid w:val="00B65A59"/>
    <w:rsid w:val="00B8477A"/>
    <w:rsid w:val="00BA709D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23F96"/>
    <w:rsid w:val="00C45254"/>
    <w:rsid w:val="00C60BA2"/>
    <w:rsid w:val="00C733CA"/>
    <w:rsid w:val="00CA0BC2"/>
    <w:rsid w:val="00CB3739"/>
    <w:rsid w:val="00CC45E3"/>
    <w:rsid w:val="00CD2208"/>
    <w:rsid w:val="00CD2FCD"/>
    <w:rsid w:val="00CE12ED"/>
    <w:rsid w:val="00CE7B86"/>
    <w:rsid w:val="00CF0CB9"/>
    <w:rsid w:val="00CF4992"/>
    <w:rsid w:val="00D37C59"/>
    <w:rsid w:val="00D4137B"/>
    <w:rsid w:val="00D44ACD"/>
    <w:rsid w:val="00D614DF"/>
    <w:rsid w:val="00D7293C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27C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F7A"/>
    <w:rsid w:val="00EF69FB"/>
    <w:rsid w:val="00F05AF1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2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2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AC91-4E75-4F99-BFF1-CAFCADA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64</cp:revision>
  <cp:lastPrinted>2023-02-16T10:17:00Z</cp:lastPrinted>
  <dcterms:created xsi:type="dcterms:W3CDTF">2022-11-28T12:26:00Z</dcterms:created>
  <dcterms:modified xsi:type="dcterms:W3CDTF">2023-09-25T11:49:00Z</dcterms:modified>
</cp:coreProperties>
</file>