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F4" w:rsidRDefault="002163F4" w:rsidP="002163F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Проведена экспертиза Типовой формы договора (соглашения) о предоставлении субсидии (гранта в форме субсидии). Устранен административный барьер для получателей субсидий при заключении договоров.</w:t>
      </w:r>
    </w:p>
    <w:p w:rsidR="002163F4" w:rsidRDefault="002163F4" w:rsidP="002163F4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45454"/>
          <w:sz w:val="21"/>
          <w:szCs w:val="21"/>
        </w:rPr>
      </w:pPr>
      <w:proofErr w:type="gramStart"/>
      <w:r>
        <w:rPr>
          <w:rFonts w:ascii="Arial" w:hAnsi="Arial" w:cs="Arial"/>
          <w:color w:val="545454"/>
          <w:sz w:val="21"/>
          <w:szCs w:val="21"/>
        </w:rPr>
        <w:t>Министерством управления финансами Самарской области проведена экспертиза приказа министерства управления финансами Самарской области от 16.11.2020 № 01-07/69н «Об утверждении типовой формы договора (соглашения) о предоставлении субсидии (гранта в форме субсидии) 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Бюджетного кодекса Российской Федерации и признании утратившими силу отдельных приказов министерства управления финансами Самарской области» (далее – приказ). Экспертиза приказа проведена в соответствии с утвержденным планом экспертизы, в который данный нормативный акт внесен по инициативе министерства экономического развития и инвестиций Самарской области. Проведение экспертизы было направлено на выявление в типовой форме договора (соглашения) о предоставлении субсидии (гранта в форме субсидии), утвержденной приказом министерства управления финансами Самарской области от 16.11.2020 № 01-07/69н, положений, необоснованно затрудняющих осуществление предпринимательской и инвестиционной деятельности. В ходе проведения публичных консультаций в процессе экспертизы поступило замечание от заинтересованного лица</w:t>
      </w:r>
      <w:r>
        <w:rPr>
          <w:rStyle w:val="a4"/>
          <w:rFonts w:ascii="Arial" w:hAnsi="Arial" w:cs="Arial"/>
          <w:color w:val="545454"/>
          <w:sz w:val="21"/>
          <w:szCs w:val="21"/>
        </w:rPr>
        <w:t> </w:t>
      </w:r>
      <w:r>
        <w:rPr>
          <w:rFonts w:ascii="Arial" w:hAnsi="Arial" w:cs="Arial"/>
          <w:color w:val="545454"/>
          <w:sz w:val="21"/>
          <w:szCs w:val="21"/>
        </w:rPr>
        <w:t>– Некоммерческой унитарной организации – Фонда «Агентство по привлечению инвестиций Самарской области». Позиция, изложенная в замечании, заключается в следующем. Получение субсидий получателями субсидии осуществляется из бюджета Самарской области на основании Договоров о предоставлении субсидии, заключаемых между получателями субсидии и главными распорядителями бюджетных средств. Порядок и условия предоставления субсидий предусмотрены соответствующими нормативными правовыми актами Самарской области. Ответственность в виде требования об обеспечении возврата субсидии в бюджет Самарской области наступает в случае установления главным распорядителем бюджетных средств или получения от органа государственного финансового контроля информации о факт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е(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ах) нарушения порядка и условий предоставления субсидии, предусмотренных порядками предоставления субсидий, в том числе указания в документах. Также предусматривается обязанность по возврату субсидий или их части в случае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недостижения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результатов предоставления субсидии. Условия по возврату субсидий в соответствии с нормативными правовыми актами касаются исключительно получателей субсидии и не распространяются на их контрагентов. 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Вместе с тем, поскольку Договоры в соответствии со статьей 78 Бюджетного кодекса заключаются по Типовой форме Соглашения, устанавливаемой министерством управления финансами Самарской области (далее – Типовая форма Соглашения), получатели субсидии обязаны включать в заключаемые договоры, оплачиваемые за счет средств субсидии, условия о согласии их контрагентов на проведение проверок и о порядке и сроках возврата средств по указанным договорам.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При заключении дополнительных соглашений к договорам с контрагентами в связи с включением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в Договор указанной обязанности на основании дополнительного соглашения к Договору, подготовленного по Типовой форме Соглашения, получатели субсидии сталкиваются со следующими сложностями. Возврат средств, полученных на основании договоров, заключенных с получателями субсидий (контрагентами), напрямую в бюджет невозможен, поскольку контрагенты не являются стороной по Договору  о предоставлении субсидии. В случае несоблюдения указанной обязанности главный распорядитель бюджетных сре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дств впр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аве приостановить предоставление субсидии, что может повлечь нарушение сроков оплаты по договорам с контрагентами. Нарушение сроков оплаты по договорам потенциально несет риски направления претензий, наложения штрафных санкций, судебных разбирательств с контрагентами и взыскания дополнительных средств либо потери договорных отношений. С учётом того, что обязательное включение условия по возврату субсидий или их части в Договор о предоставлении субсидии, заключенный на основании Типовой формы Соглашения, является неопределенным, трудновыполнимым и обременительным требованием к гражданам и организациям, вышеуказанное обязательство относится к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коррупциогенным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факторам. Кроме того, в случае нарушения условий и порядка предоставления субсидии получатели субсидии возвращают субсидию или ее часть на основании требования главного распорядителя бюджетных средств, а двойной возврат сре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дств в б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юджет (от получателей субсидии и от их контрагентов) недопустим. Отношения между получателями субсидии и их контрагентами регулируются гражданским </w:t>
      </w:r>
      <w:r>
        <w:rPr>
          <w:rFonts w:ascii="Arial" w:hAnsi="Arial" w:cs="Arial"/>
          <w:color w:val="545454"/>
          <w:sz w:val="21"/>
          <w:szCs w:val="21"/>
        </w:rPr>
        <w:lastRenderedPageBreak/>
        <w:t xml:space="preserve">законодательством. Возможность возврата средств по договорам предусмотрена Гражданским кодексом Российской Федерации, в том числе специальными нормами для каждого отдельного договора, в зависимости от типа, вида, предмета договора. Дополнительные условия ответственности в виде возврата средств в отсутствие вины существенно ограничивает права 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контрагентов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и препятствуют достижению цели любой предпринимательской деятельности – извлечению прибыли. Многие контрагенты не готовы заключать договоры либо дополнительные соглашения к ним на основании Типовой формы Соглашения, поскольку данная норма накладывает на контрагентов дополнительные обязанности, что является положением, необоснованно затрудняющим осуществление предпринимательской и инвестиционной деятельности. 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По результатам проведения экспертизы орган-разработчик пришел к выводу об обоснованности поступившего замечания и решил учесть его путем изменения положений Типовой формы Соглашения, предусмотрев, что данное положение о возврате субсидий в договоре предусматривается в случае, если Порядком предоставления субсидии не урегулированы положения о порядке и сроках возврата средств, полученных на основании договоров, заключенных с получателями субсидий, в бюджет бюджетной системы Российской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Федерации. 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При этом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установлено, что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условие о порядке и сроках возврата субсидий в соответствующий бюджет бюджетной системы Российской Федерации устанавливается правовым актом, регулирующим предоставление субсидий, а не соглашением о предоставлении субсидии. Кроме того, Типовая форма соглашения (договора)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лицам, утвержденная Приказом Минфина России от 30.11.2021 № 199н, аналогичного требования не содержит. 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Проведение экспертизы приказа министерства управления финансами Самарской области от 16.11.2020 № 01-07/69н «Об утверждении типовой формы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и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45454"/>
          <w:sz w:val="21"/>
          <w:szCs w:val="21"/>
        </w:rPr>
        <w:t>признании утратившими силу отдельных приказов министерства управления финансами Самарской области» может быть признано «лучшей практикой Самарской области», поскольку правовое регулирование затрагивает интересы большого круга лиц: получателей субсидий и их контрагентов – юридических лиц, индивидуальных предпринимателей, физических лиц – производителей товаров, работ, услуг.</w:t>
      </w:r>
      <w:proofErr w:type="gramEnd"/>
      <w:r>
        <w:rPr>
          <w:rFonts w:ascii="Arial" w:hAnsi="Arial" w:cs="Arial"/>
          <w:color w:val="545454"/>
          <w:sz w:val="21"/>
          <w:szCs w:val="21"/>
        </w:rPr>
        <w:t xml:space="preserve"> Данное правовое регулирование имеет большой общественный резонанс в связи с тем, что направлено на сферу оказания государственной финансовой поддержки в целях развития предпринимательской и инвестиционной деятельности. В данных условиях представители предпринимательского сообщества вынуждены были отказываться от получения мер финансовой поддержки путем заключения Типового Соглашения, в связи с тем, что оно содержало положения, обуславливающее их дальнейшие финансовые потери. Так, субъекты предпринимательства сельскохозяйственного кластера, могли лишиться меры финансовой поддержки в виде субсидии на развитие материально-технической базы. Согласно информации, имеющейся в свободном доступе  в информационно-телекоммуникационной сети «Интернет», на территории Самарской области 1 500 сельскохозяйственных организаций и 2 000 КФХ. Максимальный размер субсидии составляет 3 000 000 000 рублей. Общий эффект проведения экспертизы по сельскохозяйственному кластеру варьируется от 4 500 000 000 000 рублей до  6 000 000 000 000 рублей. Выбранный в ходе проведения экспертизы вариант решения проблемы – корректировка положений Типовой формы Соглашения, позволит увеличить количество заключаемых договоров получателей мер финансовой поддержки,      а также минимизирует риски возникновения финансовых убытков. В настоящее время органом-разработчиком разработаны соответствующие изменения в приказ.</w:t>
      </w:r>
    </w:p>
    <w:p w:rsidR="002163F4" w:rsidRDefault="002163F4" w:rsidP="002163F4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Ознакомиться с экспертизой приказа можно по ссылке: </w:t>
      </w:r>
      <w:hyperlink r:id="rId5" w:anchor="npa=298" w:history="1">
        <w:r>
          <w:rPr>
            <w:rStyle w:val="a5"/>
            <w:rFonts w:ascii="Arial" w:hAnsi="Arial" w:cs="Arial"/>
            <w:color w:val="1C4E84"/>
            <w:sz w:val="21"/>
            <w:szCs w:val="21"/>
            <w:u w:val="none"/>
          </w:rPr>
          <w:t>https://regulation.samregion.ru/projects#npa=298</w:t>
        </w:r>
      </w:hyperlink>
    </w:p>
    <w:p w:rsidR="002163F4" w:rsidRDefault="002163F4" w:rsidP="002163F4">
      <w:pPr>
        <w:pStyle w:val="a3"/>
        <w:shd w:val="clear" w:color="auto" w:fill="FFFFFF"/>
        <w:spacing w:before="0" w:beforeAutospacing="0" w:after="300" w:afterAutospacing="0"/>
        <w:rPr>
          <w:rStyle w:val="a5"/>
          <w:rFonts w:ascii="Arial" w:hAnsi="Arial" w:cs="Arial"/>
          <w:color w:val="1C4E84"/>
          <w:sz w:val="21"/>
          <w:szCs w:val="21"/>
          <w:u w:val="none"/>
        </w:rPr>
      </w:pPr>
      <w:r>
        <w:rPr>
          <w:rFonts w:ascii="Arial" w:hAnsi="Arial" w:cs="Arial"/>
          <w:color w:val="545454"/>
          <w:sz w:val="21"/>
          <w:szCs w:val="21"/>
        </w:rPr>
        <w:lastRenderedPageBreak/>
        <w:t>Ознакомиться с проектом приказа, вносящим изменения, можно по ссылке: </w:t>
      </w:r>
      <w:hyperlink r:id="rId6" w:anchor="npa=375" w:history="1">
        <w:r>
          <w:rPr>
            <w:rStyle w:val="a5"/>
            <w:rFonts w:ascii="Arial" w:hAnsi="Arial" w:cs="Arial"/>
            <w:color w:val="1C4E84"/>
            <w:sz w:val="21"/>
            <w:szCs w:val="21"/>
            <w:u w:val="none"/>
          </w:rPr>
          <w:t>https://regulation.samregion.ru/projects#npa=375</w:t>
        </w:r>
      </w:hyperlink>
    </w:p>
    <w:p w:rsidR="00D73E9C" w:rsidRDefault="00D73E9C" w:rsidP="002163F4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45454"/>
          <w:sz w:val="21"/>
          <w:szCs w:val="21"/>
        </w:rPr>
      </w:pPr>
      <w:r w:rsidRPr="00D73E9C">
        <w:rPr>
          <w:rFonts w:ascii="Arial" w:hAnsi="Arial" w:cs="Arial"/>
          <w:color w:val="545454"/>
          <w:sz w:val="21"/>
          <w:szCs w:val="21"/>
        </w:rPr>
        <w:t>http://orv.gov.ru/Regions/Details/36?cat=19</w:t>
      </w:r>
      <w:bookmarkStart w:id="0" w:name="_GoBack"/>
      <w:bookmarkEnd w:id="0"/>
    </w:p>
    <w:p w:rsidR="00102DEA" w:rsidRDefault="00102DEA"/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73"/>
    <w:rsid w:val="00102DEA"/>
    <w:rsid w:val="002163F4"/>
    <w:rsid w:val="00273873"/>
    <w:rsid w:val="00D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3F4"/>
    <w:rPr>
      <w:b/>
      <w:bCs/>
    </w:rPr>
  </w:style>
  <w:style w:type="character" w:styleId="a5">
    <w:name w:val="Hyperlink"/>
    <w:basedOn w:val="a0"/>
    <w:uiPriority w:val="99"/>
    <w:semiHidden/>
    <w:unhideWhenUsed/>
    <w:rsid w:val="00216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3F4"/>
    <w:rPr>
      <w:b/>
      <w:bCs/>
    </w:rPr>
  </w:style>
  <w:style w:type="character" w:styleId="a5">
    <w:name w:val="Hyperlink"/>
    <w:basedOn w:val="a0"/>
    <w:uiPriority w:val="99"/>
    <w:semiHidden/>
    <w:unhideWhenUsed/>
    <w:rsid w:val="00216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samregion.ru/projects" TargetMode="External"/><Relationship Id="rId5" Type="http://schemas.openxmlformats.org/officeDocument/2006/relationships/hyperlink" Target="https://regulation.samregion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2024-02-06T18:00:00Z</dcterms:created>
  <dcterms:modified xsi:type="dcterms:W3CDTF">2024-02-06T19:31:00Z</dcterms:modified>
</cp:coreProperties>
</file>