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8E634C" w:rsidTr="00BF7F65">
        <w:tc>
          <w:tcPr>
            <w:tcW w:w="4785" w:type="dxa"/>
            <w:hideMark/>
          </w:tcPr>
          <w:p w:rsidR="008E634C" w:rsidRDefault="008E634C" w:rsidP="00BF7F6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E634C" w:rsidRDefault="008E634C" w:rsidP="00BF7F6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станция</w:t>
            </w:r>
          </w:p>
          <w:p w:rsidR="008E634C" w:rsidRDefault="008E634C" w:rsidP="00BF7F65">
            <w:pPr>
              <w:keepNext/>
              <w:tabs>
                <w:tab w:val="left" w:pos="1703"/>
                <w:tab w:val="center" w:pos="2284"/>
              </w:tabs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Клявлино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Клявлинский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8E634C" w:rsidRDefault="008E634C" w:rsidP="00BF7F65">
            <w:pPr>
              <w:jc w:val="center"/>
            </w:pPr>
          </w:p>
          <w:p w:rsidR="00D876A4" w:rsidRDefault="00D876A4" w:rsidP="00D87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6836AC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2.2021</w:t>
            </w:r>
            <w:r w:rsidRPr="006836AC">
              <w:rPr>
                <w:sz w:val="26"/>
                <w:szCs w:val="26"/>
              </w:rPr>
              <w:t xml:space="preserve"> г. № </w:t>
            </w:r>
            <w:r w:rsidR="000459DD">
              <w:rPr>
                <w:sz w:val="26"/>
                <w:szCs w:val="26"/>
              </w:rPr>
              <w:t>98</w:t>
            </w:r>
            <w:bookmarkStart w:id="0" w:name="_GoBack"/>
            <w:bookmarkEnd w:id="0"/>
          </w:p>
          <w:p w:rsidR="00D876A4" w:rsidRDefault="00D876A4" w:rsidP="00BF7F65">
            <w:pPr>
              <w:jc w:val="center"/>
            </w:pPr>
          </w:p>
        </w:tc>
        <w:tc>
          <w:tcPr>
            <w:tcW w:w="4785" w:type="dxa"/>
          </w:tcPr>
          <w:p w:rsidR="008E634C" w:rsidRDefault="008E634C" w:rsidP="00BF7F65">
            <w:pPr>
              <w:jc w:val="right"/>
              <w:rPr>
                <w:bCs/>
                <w:color w:val="242424"/>
              </w:rPr>
            </w:pPr>
            <w:r>
              <w:t xml:space="preserve">            </w:t>
            </w:r>
          </w:p>
          <w:p w:rsidR="008E634C" w:rsidRPr="005E14F6" w:rsidRDefault="008E634C" w:rsidP="00BF7F65">
            <w:pPr>
              <w:jc w:val="right"/>
              <w:rPr>
                <w:color w:val="242424"/>
              </w:rPr>
            </w:pPr>
            <w:r>
              <w:rPr>
                <w:bCs/>
                <w:color w:val="242424"/>
              </w:rPr>
              <w:t>.</w:t>
            </w:r>
          </w:p>
          <w:p w:rsidR="008E634C" w:rsidRDefault="008E634C" w:rsidP="00BF7F65">
            <w:pPr>
              <w:ind w:left="1417"/>
              <w:jc w:val="both"/>
            </w:pPr>
          </w:p>
          <w:p w:rsidR="008E634C" w:rsidRDefault="008E634C" w:rsidP="00BF7F65">
            <w:pPr>
              <w:spacing w:line="360" w:lineRule="auto"/>
              <w:ind w:left="1417"/>
              <w:jc w:val="both"/>
            </w:pPr>
          </w:p>
        </w:tc>
      </w:tr>
    </w:tbl>
    <w:p w:rsidR="0096280E" w:rsidRPr="00851DFF" w:rsidRDefault="008E634C" w:rsidP="00851DF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ПОСТАНОВЛЕНИЕ</w:t>
      </w:r>
    </w:p>
    <w:p w:rsidR="0096280E" w:rsidRDefault="00D56FD6" w:rsidP="0096280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4D026B">
        <w:rPr>
          <w:bCs/>
          <w:color w:val="000000" w:themeColor="text1"/>
          <w:sz w:val="28"/>
          <w:szCs w:val="28"/>
        </w:rPr>
        <w:t xml:space="preserve"> </w:t>
      </w:r>
      <w:r w:rsidR="004D026B">
        <w:rPr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="004D026B" w:rsidRPr="004D026B">
        <w:rPr>
          <w:color w:val="000000" w:themeColor="text1"/>
          <w:sz w:val="28"/>
          <w:szCs w:val="28"/>
        </w:rPr>
        <w:t>на 2022 год</w:t>
      </w:r>
      <w:r w:rsidR="004D026B">
        <w:rPr>
          <w:color w:val="000000" w:themeColor="text1"/>
          <w:sz w:val="28"/>
          <w:szCs w:val="28"/>
        </w:rPr>
        <w:t>.</w:t>
      </w:r>
    </w:p>
    <w:p w:rsidR="0096280E" w:rsidRDefault="0096280E" w:rsidP="0096280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56FD6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станция Клявлино муниципального района Клявлинский Самарской област</w:t>
      </w:r>
      <w:r w:rsidR="005E1E29">
        <w:rPr>
          <w:color w:val="000000" w:themeColor="text1"/>
          <w:sz w:val="28"/>
          <w:szCs w:val="28"/>
        </w:rPr>
        <w:t>и</w:t>
      </w:r>
      <w:proofErr w:type="gramEnd"/>
    </w:p>
    <w:p w:rsidR="00D56FD6" w:rsidRPr="00D56FD6" w:rsidRDefault="00D56FD6" w:rsidP="00D56FD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ПОСТАНОВЛЯЕТ: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2022 год согласно приложению.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6280E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D56FD6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информационно-коммуникационной сети «Интернет» в разделе «Контрольно-надзорная деятельность».</w:t>
      </w: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P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</w:p>
    <w:p w:rsidR="0096280E" w:rsidRDefault="0096280E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станция Клявлино</w:t>
      </w:r>
    </w:p>
    <w:p w:rsidR="0096280E" w:rsidRDefault="001243D8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>муниципального района Клявлинский</w:t>
      </w:r>
    </w:p>
    <w:p w:rsidR="00704BF2" w:rsidRPr="00851DFF" w:rsidRDefault="001243D8" w:rsidP="00851DFF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 xml:space="preserve">Самарской области                             </w:t>
      </w:r>
      <w:r w:rsidR="0096280E">
        <w:rPr>
          <w:sz w:val="28"/>
          <w:szCs w:val="28"/>
        </w:rPr>
        <w:tab/>
      </w:r>
      <w:r w:rsidR="0096280E">
        <w:rPr>
          <w:sz w:val="28"/>
          <w:szCs w:val="28"/>
        </w:rPr>
        <w:tab/>
        <w:t xml:space="preserve">                              Ю.Д.</w:t>
      </w:r>
      <w:r>
        <w:rPr>
          <w:sz w:val="28"/>
          <w:szCs w:val="28"/>
        </w:rPr>
        <w:t xml:space="preserve"> </w:t>
      </w:r>
      <w:r w:rsidR="0096280E">
        <w:rPr>
          <w:sz w:val="28"/>
          <w:szCs w:val="28"/>
        </w:rPr>
        <w:t>Иванов</w:t>
      </w:r>
    </w:p>
    <w:p w:rsidR="00D56FD6" w:rsidRDefault="00D56FD6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lastRenderedPageBreak/>
        <w:t>Приложение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>к постановлению администрации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</w:t>
      </w:r>
      <w:r w:rsidR="000C582D" w:rsidRPr="000C582D">
        <w:rPr>
          <w:color w:val="000000" w:themeColor="text1"/>
          <w:sz w:val="20"/>
          <w:szCs w:val="20"/>
        </w:rPr>
        <w:t>сельского поселения станция Клявлино муниципального района Клявлинский</w:t>
      </w:r>
    </w:p>
    <w:p w:rsidR="00CE0F83" w:rsidRPr="000C582D" w:rsidRDefault="000C582D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Самарской области</w:t>
      </w: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от </w:t>
      </w:r>
      <w:r w:rsidR="00756DA8">
        <w:rPr>
          <w:color w:val="000000" w:themeColor="text1"/>
          <w:sz w:val="20"/>
          <w:szCs w:val="20"/>
        </w:rPr>
        <w:t xml:space="preserve">08.12.202 г. </w:t>
      </w:r>
      <w:r w:rsidRPr="000C582D">
        <w:rPr>
          <w:color w:val="000000" w:themeColor="text1"/>
          <w:sz w:val="20"/>
          <w:szCs w:val="20"/>
        </w:rPr>
        <w:t>№ ___</w:t>
      </w:r>
      <w:r w:rsidR="00756DA8">
        <w:rPr>
          <w:color w:val="000000" w:themeColor="text1"/>
          <w:sz w:val="20"/>
          <w:szCs w:val="20"/>
        </w:rPr>
        <w:t>_</w:t>
      </w:r>
    </w:p>
    <w:p w:rsidR="00CE0F83" w:rsidRPr="0060606B" w:rsidRDefault="00CE0F83" w:rsidP="00CE0F83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DF2C7C">
        <w:rPr>
          <w:b/>
          <w:bCs/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817F11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D56FD6" w:rsidRPr="00817F11" w:rsidRDefault="00D56FD6" w:rsidP="00D56FD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56FD6" w:rsidRPr="00817F11" w:rsidRDefault="00D56FD6" w:rsidP="00D56FD6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56FD6" w:rsidRPr="00817F11" w:rsidRDefault="00D56FD6" w:rsidP="00D56FD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F87166"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F87166" w:rsidRPr="00F87166">
        <w:rPr>
          <w:color w:val="000000"/>
          <w:sz w:val="28"/>
          <w:szCs w:val="28"/>
        </w:rPr>
        <w:t>сельского поселения станция</w:t>
      </w:r>
      <w:proofErr w:type="gramEnd"/>
      <w:r w:rsidR="00F87166" w:rsidRPr="00F87166">
        <w:rPr>
          <w:color w:val="000000"/>
          <w:sz w:val="28"/>
          <w:szCs w:val="28"/>
        </w:rPr>
        <w:t xml:space="preserve"> Клявлино муниципального района Клявлинский Самарской области 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</w:t>
      </w:r>
      <w:proofErr w:type="gramStart"/>
      <w:r w:rsidRPr="00817F11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817F11">
        <w:rPr>
          <w:color w:val="000000"/>
          <w:sz w:val="28"/>
          <w:szCs w:val="28"/>
          <w:shd w:val="clear" w:color="auto" w:fill="FFFFFF"/>
        </w:rPr>
        <w:t xml:space="preserve">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f0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</w:t>
      </w:r>
      <w:r w:rsidRPr="00817F11">
        <w:rPr>
          <w:color w:val="000000" w:themeColor="text1"/>
          <w:sz w:val="28"/>
          <w:szCs w:val="28"/>
        </w:rPr>
        <w:lastRenderedPageBreak/>
        <w:t xml:space="preserve">исключительно </w:t>
      </w:r>
      <w:proofErr w:type="gramStart"/>
      <w:r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56FD6" w:rsidRPr="00F80B69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F87166" w:rsidRPr="00F87166">
        <w:rPr>
          <w:color w:val="000000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151A5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F87166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F87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D56FD6" w:rsidRPr="002B7D23" w:rsidRDefault="00D56FD6" w:rsidP="00D56FD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8716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8716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Pr="00BC3E0C">
        <w:rPr>
          <w:sz w:val="28"/>
          <w:szCs w:val="28"/>
        </w:rPr>
        <w:t>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56FD6" w:rsidRPr="00DB63F7" w:rsidRDefault="00D56FD6" w:rsidP="00D56FD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56FD6" w:rsidRPr="003C5466" w:rsidRDefault="00D56FD6" w:rsidP="00741C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56FD6" w:rsidRPr="00511034" w:rsidRDefault="00D56FD6" w:rsidP="00AE6A6F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226AC2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</w:t>
            </w:r>
            <w:r w:rsidRPr="00F87166">
              <w:rPr>
                <w:color w:val="000000" w:themeColor="text1"/>
              </w:rPr>
              <w:lastRenderedPageBreak/>
              <w:t xml:space="preserve">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D56FD6" w:rsidRPr="00D5164C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  <w:r>
              <w:rPr>
                <w:color w:val="000000"/>
              </w:rPr>
              <w:t xml:space="preserve">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7541B3" w:rsidRDefault="00D56FD6" w:rsidP="00AE6A6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56FD6" w:rsidRPr="004E5904" w:rsidRDefault="00D56FD6" w:rsidP="00AE6A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56FD6" w:rsidRPr="004E5904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</w:t>
            </w:r>
            <w:r w:rsidRPr="00B353F3">
              <w:rPr>
                <w:color w:val="000000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="00F87166" w:rsidRPr="00F87166">
              <w:rPr>
                <w:color w:val="000000"/>
              </w:rPr>
              <w:t xml:space="preserve">сельского поселения станция Клявлино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D56FD6" w:rsidRDefault="00D56FD6" w:rsidP="00AE6A6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</w:t>
            </w:r>
            <w:r w:rsidRPr="00F87166">
              <w:rPr>
                <w:color w:val="000000" w:themeColor="text1"/>
              </w:rPr>
              <w:lastRenderedPageBreak/>
              <w:t xml:space="preserve">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7934FC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66" w:rsidRPr="00F87166" w:rsidRDefault="00F87166" w:rsidP="00F87166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F87166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главой (заместителем главы) сельского поселения станция Клявлино </w:t>
            </w:r>
          </w:p>
        </w:tc>
      </w:tr>
    </w:tbl>
    <w:p w:rsidR="00D56FD6" w:rsidRPr="003C5466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56FD6" w:rsidRDefault="00D56FD6" w:rsidP="00D56FD6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56FD6" w:rsidRPr="007F1790" w:rsidRDefault="00D56FD6" w:rsidP="00D56FD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56FD6" w:rsidRPr="002F2F5E" w:rsidRDefault="00D56FD6" w:rsidP="00D56FD6">
      <w:pPr>
        <w:jc w:val="both"/>
        <w:rPr>
          <w:i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</w:tblGrid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56FD6" w:rsidRPr="007F1790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="00A20EA1" w:rsidRPr="00A20EA1">
        <w:rPr>
          <w:color w:val="22272F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A20EA1" w:rsidRPr="00A20EA1">
        <w:rPr>
          <w:color w:val="22272F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817F11">
        <w:rPr>
          <w:color w:val="22272F"/>
          <w:sz w:val="28"/>
          <w:szCs w:val="28"/>
        </w:rPr>
        <w:t>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A20EA1" w:rsidRPr="00A20EA1">
        <w:rPr>
          <w:color w:val="22272F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p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sectPr w:rsidR="00B91AE0" w:rsidRPr="00F64373" w:rsidSect="00741CED">
      <w:headerReference w:type="even" r:id="rId8"/>
      <w:headerReference w:type="default" r:id="rId9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E8" w:rsidRDefault="004416E8" w:rsidP="0081527A">
      <w:r>
        <w:separator/>
      </w:r>
    </w:p>
  </w:endnote>
  <w:endnote w:type="continuationSeparator" w:id="0">
    <w:p w:rsidR="004416E8" w:rsidRDefault="004416E8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E8" w:rsidRDefault="004416E8" w:rsidP="0081527A">
      <w:r>
        <w:separator/>
      </w:r>
    </w:p>
  </w:footnote>
  <w:footnote w:type="continuationSeparator" w:id="0">
    <w:p w:rsidR="004416E8" w:rsidRDefault="004416E8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0459DD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16B3F"/>
    <w:rsid w:val="000459DD"/>
    <w:rsid w:val="000544BD"/>
    <w:rsid w:val="00056EE1"/>
    <w:rsid w:val="0006111F"/>
    <w:rsid w:val="00061751"/>
    <w:rsid w:val="000716AE"/>
    <w:rsid w:val="00081A36"/>
    <w:rsid w:val="00081AC1"/>
    <w:rsid w:val="000A3583"/>
    <w:rsid w:val="000B0616"/>
    <w:rsid w:val="000B2CE7"/>
    <w:rsid w:val="000B35F7"/>
    <w:rsid w:val="000C1CD1"/>
    <w:rsid w:val="000C57E1"/>
    <w:rsid w:val="000C582D"/>
    <w:rsid w:val="000C597C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43D8"/>
    <w:rsid w:val="00127A9F"/>
    <w:rsid w:val="00131745"/>
    <w:rsid w:val="00136CEC"/>
    <w:rsid w:val="0014020A"/>
    <w:rsid w:val="0019698E"/>
    <w:rsid w:val="001C0881"/>
    <w:rsid w:val="001C1281"/>
    <w:rsid w:val="001D6226"/>
    <w:rsid w:val="001D7565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E68B3"/>
    <w:rsid w:val="00415E5A"/>
    <w:rsid w:val="00433BF9"/>
    <w:rsid w:val="004416E8"/>
    <w:rsid w:val="00446F73"/>
    <w:rsid w:val="00467A68"/>
    <w:rsid w:val="0047620D"/>
    <w:rsid w:val="00486FB4"/>
    <w:rsid w:val="004A2FEC"/>
    <w:rsid w:val="004A69D2"/>
    <w:rsid w:val="004B54BB"/>
    <w:rsid w:val="004D026B"/>
    <w:rsid w:val="004D4E06"/>
    <w:rsid w:val="004E3C7C"/>
    <w:rsid w:val="004E4640"/>
    <w:rsid w:val="005019A3"/>
    <w:rsid w:val="0050543F"/>
    <w:rsid w:val="00543BAD"/>
    <w:rsid w:val="00544C14"/>
    <w:rsid w:val="00554423"/>
    <w:rsid w:val="00570E9F"/>
    <w:rsid w:val="005761AE"/>
    <w:rsid w:val="005B52C6"/>
    <w:rsid w:val="005C16A3"/>
    <w:rsid w:val="005E1E29"/>
    <w:rsid w:val="005E434F"/>
    <w:rsid w:val="005F1884"/>
    <w:rsid w:val="00627DE2"/>
    <w:rsid w:val="006361B7"/>
    <w:rsid w:val="00645A76"/>
    <w:rsid w:val="006614DB"/>
    <w:rsid w:val="00680006"/>
    <w:rsid w:val="006C1EBD"/>
    <w:rsid w:val="006C4E3B"/>
    <w:rsid w:val="006E6CEA"/>
    <w:rsid w:val="00704BF2"/>
    <w:rsid w:val="00706404"/>
    <w:rsid w:val="0071198E"/>
    <w:rsid w:val="00713BF2"/>
    <w:rsid w:val="0071754C"/>
    <w:rsid w:val="00721D61"/>
    <w:rsid w:val="007371C0"/>
    <w:rsid w:val="00741CED"/>
    <w:rsid w:val="00747BCD"/>
    <w:rsid w:val="007560F0"/>
    <w:rsid w:val="00756DA8"/>
    <w:rsid w:val="007937A6"/>
    <w:rsid w:val="007A7D0D"/>
    <w:rsid w:val="007B3CDC"/>
    <w:rsid w:val="007D02CC"/>
    <w:rsid w:val="007F04DC"/>
    <w:rsid w:val="0080195E"/>
    <w:rsid w:val="0081527A"/>
    <w:rsid w:val="00825827"/>
    <w:rsid w:val="00851D66"/>
    <w:rsid w:val="00851DFF"/>
    <w:rsid w:val="00860DC8"/>
    <w:rsid w:val="00863D0B"/>
    <w:rsid w:val="008851A9"/>
    <w:rsid w:val="0089481C"/>
    <w:rsid w:val="00896B5A"/>
    <w:rsid w:val="008E634C"/>
    <w:rsid w:val="008F2DEE"/>
    <w:rsid w:val="00901C0D"/>
    <w:rsid w:val="009021AF"/>
    <w:rsid w:val="00903719"/>
    <w:rsid w:val="00911F81"/>
    <w:rsid w:val="00913CB2"/>
    <w:rsid w:val="0096280E"/>
    <w:rsid w:val="00972B62"/>
    <w:rsid w:val="00980D28"/>
    <w:rsid w:val="00993E07"/>
    <w:rsid w:val="009D0A0E"/>
    <w:rsid w:val="009D1577"/>
    <w:rsid w:val="009F240E"/>
    <w:rsid w:val="00A02694"/>
    <w:rsid w:val="00A20EA1"/>
    <w:rsid w:val="00A245EC"/>
    <w:rsid w:val="00A31D72"/>
    <w:rsid w:val="00A339F5"/>
    <w:rsid w:val="00A43A32"/>
    <w:rsid w:val="00A45627"/>
    <w:rsid w:val="00A46B21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B79FC"/>
    <w:rsid w:val="00CC421A"/>
    <w:rsid w:val="00CC605A"/>
    <w:rsid w:val="00CD20C5"/>
    <w:rsid w:val="00CD7B8F"/>
    <w:rsid w:val="00CE0F83"/>
    <w:rsid w:val="00CF29DA"/>
    <w:rsid w:val="00CF50BB"/>
    <w:rsid w:val="00CF6204"/>
    <w:rsid w:val="00D07AE1"/>
    <w:rsid w:val="00D24B1A"/>
    <w:rsid w:val="00D25EDD"/>
    <w:rsid w:val="00D26EEB"/>
    <w:rsid w:val="00D56FD6"/>
    <w:rsid w:val="00D577F9"/>
    <w:rsid w:val="00D87076"/>
    <w:rsid w:val="00D876A4"/>
    <w:rsid w:val="00D960E6"/>
    <w:rsid w:val="00DA21C5"/>
    <w:rsid w:val="00DA5CB9"/>
    <w:rsid w:val="00DB1157"/>
    <w:rsid w:val="00DC60FD"/>
    <w:rsid w:val="00DD0061"/>
    <w:rsid w:val="00DE22AB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679F0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18DE"/>
    <w:rsid w:val="00F64373"/>
    <w:rsid w:val="00F655AA"/>
    <w:rsid w:val="00F71897"/>
    <w:rsid w:val="00F87166"/>
    <w:rsid w:val="00F918D0"/>
    <w:rsid w:val="00FB5644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A69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6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0F8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klyav</cp:lastModifiedBy>
  <cp:revision>52</cp:revision>
  <cp:lastPrinted>2021-09-14T05:25:00Z</cp:lastPrinted>
  <dcterms:created xsi:type="dcterms:W3CDTF">2021-08-13T06:30:00Z</dcterms:created>
  <dcterms:modified xsi:type="dcterms:W3CDTF">2021-12-09T09:23:00Z</dcterms:modified>
</cp:coreProperties>
</file>