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6A785B" w:rsidP="009A3329">
      <w:pPr>
        <w:autoSpaceDE w:val="0"/>
        <w:autoSpaceDN w:val="0"/>
        <w:adjustRightInd w:val="0"/>
        <w:ind w:firstLine="284"/>
        <w:jc w:val="right"/>
        <w:rPr>
          <w:rFonts w:ascii="Times New Roman" w:eastAsia="Times New Roman" w:hAnsi="Times New Roman"/>
          <w:b/>
          <w:sz w:val="28"/>
          <w:szCs w:val="28"/>
        </w:rPr>
      </w:pPr>
      <w:r>
        <w:rPr>
          <w:rFonts w:ascii="Times New Roman" w:eastAsia="Times New Roman" w:hAnsi="Times New Roman"/>
          <w:b/>
          <w:sz w:val="28"/>
          <w:szCs w:val="28"/>
        </w:rPr>
        <w:t>Приложение</w:t>
      </w:r>
    </w:p>
    <w:p w:rsidR="009A3329" w:rsidRPr="009A3329" w:rsidRDefault="009A3329" w:rsidP="00CC15B1">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proofErr w:type="spellStart"/>
      <w:r w:rsidR="00CC15B1">
        <w:rPr>
          <w:rFonts w:ascii="Times New Roman" w:eastAsia="Times New Roman" w:hAnsi="Times New Roman"/>
          <w:b/>
          <w:sz w:val="28"/>
          <w:szCs w:val="28"/>
        </w:rPr>
        <w:t>Клявлинского</w:t>
      </w:r>
      <w:proofErr w:type="spellEnd"/>
      <w:r w:rsidR="00CC15B1">
        <w:rPr>
          <w:rFonts w:ascii="Times New Roman" w:eastAsia="Times New Roman" w:hAnsi="Times New Roman"/>
          <w:b/>
          <w:sz w:val="28"/>
          <w:szCs w:val="28"/>
        </w:rPr>
        <w:t xml:space="preserve"> района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 </w:t>
      </w:r>
      <w:r w:rsidR="006A785B">
        <w:rPr>
          <w:rFonts w:ascii="Times New Roman" w:eastAsia="Times New Roman" w:hAnsi="Times New Roman"/>
          <w:b/>
          <w:sz w:val="28"/>
          <w:szCs w:val="28"/>
          <w:lang w:eastAsia="ru-RU"/>
        </w:rPr>
        <w:t xml:space="preserve">с долей </w:t>
      </w:r>
      <w:r w:rsidRPr="009A3329">
        <w:rPr>
          <w:rFonts w:ascii="Times New Roman" w:eastAsia="Times New Roman" w:hAnsi="Times New Roman"/>
          <w:b/>
          <w:sz w:val="28"/>
          <w:szCs w:val="28"/>
          <w:lang w:eastAsia="ru-RU"/>
        </w:rPr>
        <w:t>муниципального участия 50 и более процентов (по состоянию на 01.01.202</w:t>
      </w:r>
      <w:r w:rsidR="00B417E1">
        <w:rPr>
          <w:rFonts w:ascii="Times New Roman" w:eastAsia="Times New Roman" w:hAnsi="Times New Roman"/>
          <w:b/>
          <w:sz w:val="28"/>
          <w:szCs w:val="28"/>
          <w:lang w:eastAsia="ru-RU"/>
        </w:rPr>
        <w:t>2</w:t>
      </w:r>
      <w:r w:rsidRPr="009A3329">
        <w:rPr>
          <w:rFonts w:ascii="Times New Roman" w:eastAsia="Times New Roman" w:hAnsi="Times New Roman"/>
          <w:b/>
          <w:sz w:val="28"/>
          <w:szCs w:val="28"/>
          <w:lang w:eastAsia="ru-RU"/>
        </w:rPr>
        <w:t>)</w:t>
      </w:r>
    </w:p>
    <w:p w:rsidR="009A3329" w:rsidRPr="009A3329" w:rsidRDefault="009A3329" w:rsidP="009A3329">
      <w:pPr>
        <w:jc w:val="center"/>
        <w:rPr>
          <w:rFonts w:ascii="Times New Roman" w:eastAsia="Times New Roman" w:hAnsi="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9A3329" w:rsidRPr="009A3329" w:rsidTr="00201186">
        <w:trPr>
          <w:trHeight w:val="545"/>
          <w:jc w:val="center"/>
        </w:trPr>
        <w:tc>
          <w:tcPr>
            <w:tcW w:w="437" w:type="dxa"/>
            <w:vMerge w:val="restart"/>
            <w:shd w:val="clear" w:color="auto" w:fill="auto"/>
            <w:noWrap/>
            <w:hideMark/>
          </w:tcPr>
          <w:p w:rsidR="009A3329" w:rsidRPr="009A3329" w:rsidRDefault="009A3329" w:rsidP="009A3329">
            <w:pPr>
              <w:ind w:firstLine="0"/>
              <w:jc w:val="center"/>
              <w:rPr>
                <w:rFonts w:ascii="Times New Roman" w:eastAsia="Times New Roman" w:hAnsi="Times New Roman"/>
                <w:bCs/>
                <w:color w:val="000000"/>
                <w:sz w:val="24"/>
                <w:szCs w:val="24"/>
                <w:lang w:eastAsia="ru-RU"/>
              </w:rPr>
            </w:pPr>
            <w:r w:rsidRPr="009A3329">
              <w:rPr>
                <w:rFonts w:ascii="Times New Roman" w:eastAsia="Times New Roman" w:hAnsi="Times New Roman"/>
                <w:bCs/>
                <w:color w:val="000000"/>
                <w:sz w:val="24"/>
                <w:szCs w:val="24"/>
                <w:lang w:eastAsia="ru-RU"/>
              </w:rPr>
              <w:t>№</w:t>
            </w:r>
          </w:p>
        </w:tc>
        <w:tc>
          <w:tcPr>
            <w:tcW w:w="321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хозяйствующего субъекта</w:t>
            </w:r>
          </w:p>
        </w:tc>
        <w:tc>
          <w:tcPr>
            <w:tcW w:w="1276" w:type="dxa"/>
            <w:vMerge w:val="restart"/>
            <w:shd w:val="clear" w:color="auto" w:fill="auto"/>
            <w:hideMark/>
          </w:tcPr>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Доля участия государства</w:t>
            </w:r>
          </w:p>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 xml:space="preserve"> в субъекте, %</w:t>
            </w:r>
          </w:p>
        </w:tc>
        <w:tc>
          <w:tcPr>
            <w:tcW w:w="368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рынка присутствия хозяйствующего субъекта</w:t>
            </w:r>
          </w:p>
        </w:tc>
        <w:tc>
          <w:tcPr>
            <w:tcW w:w="1701" w:type="dxa"/>
            <w:vMerge w:val="restart"/>
          </w:tcPr>
          <w:p w:rsidR="009A3329" w:rsidRPr="009A3329" w:rsidRDefault="009A3329" w:rsidP="009A3329">
            <w:pPr>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Географические границы рынка</w:t>
            </w:r>
          </w:p>
        </w:tc>
        <w:tc>
          <w:tcPr>
            <w:tcW w:w="3261" w:type="dxa"/>
            <w:gridSpan w:val="2"/>
            <w:shd w:val="clear" w:color="auto" w:fill="auto"/>
            <w:hideMark/>
          </w:tcPr>
          <w:p w:rsidR="009A3329" w:rsidRPr="009A3329" w:rsidRDefault="009A3329" w:rsidP="009A3329">
            <w:pPr>
              <w:widowControl w:val="0"/>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9A3329" w:rsidRPr="009A3329" w:rsidRDefault="009A3329" w:rsidP="009A3329">
            <w:pPr>
              <w:ind w:left="-102"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Суммарный объем государственного финансирования субъекта, руб.</w:t>
            </w:r>
          </w:p>
        </w:tc>
      </w:tr>
      <w:tr w:rsidR="009A3329" w:rsidRPr="009A3329" w:rsidTr="00201186">
        <w:trPr>
          <w:trHeight w:val="709"/>
          <w:jc w:val="center"/>
        </w:trPr>
        <w:tc>
          <w:tcPr>
            <w:tcW w:w="437" w:type="dxa"/>
            <w:vMerge/>
            <w:shd w:val="clear" w:color="auto" w:fill="auto"/>
            <w:noWrap/>
          </w:tcPr>
          <w:p w:rsidR="009A3329" w:rsidRPr="009A3329" w:rsidRDefault="009A3329" w:rsidP="009A3329">
            <w:pPr>
              <w:ind w:firstLine="0"/>
              <w:jc w:val="center"/>
              <w:rPr>
                <w:rFonts w:ascii="Times New Roman" w:eastAsia="Times New Roman" w:hAnsi="Times New Roman"/>
                <w:bCs/>
                <w:color w:val="000000"/>
                <w:sz w:val="24"/>
                <w:szCs w:val="24"/>
                <w:lang w:eastAsia="ru-RU"/>
              </w:rPr>
            </w:pPr>
          </w:p>
        </w:tc>
        <w:tc>
          <w:tcPr>
            <w:tcW w:w="321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276"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368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vMerge/>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shd w:val="clear" w:color="auto" w:fill="auto"/>
            <w:vAlign w:val="center"/>
          </w:tcPr>
          <w:p w:rsidR="009A3329" w:rsidRPr="009A3329" w:rsidRDefault="009A3329" w:rsidP="009A3329">
            <w:pPr>
              <w:widowControl w:val="0"/>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натуральном выражении, %</w:t>
            </w:r>
          </w:p>
        </w:tc>
        <w:tc>
          <w:tcPr>
            <w:tcW w:w="1560" w:type="dxa"/>
            <w:shd w:val="clear" w:color="auto" w:fill="auto"/>
            <w:vAlign w:val="center"/>
          </w:tcPr>
          <w:p w:rsidR="009A3329" w:rsidRPr="009A3329" w:rsidRDefault="009A3329" w:rsidP="009A3329">
            <w:pPr>
              <w:widowControl w:val="0"/>
              <w:ind w:left="-108" w:right="-114"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стоимостном выражении, %</w:t>
            </w:r>
          </w:p>
        </w:tc>
        <w:tc>
          <w:tcPr>
            <w:tcW w:w="1984"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r>
      <w:tr w:rsidR="006A785B" w:rsidRPr="009A3329" w:rsidTr="00201186">
        <w:trPr>
          <w:trHeight w:val="976"/>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6A785B" w:rsidP="006A785B">
            <w:pPr>
              <w:ind w:left="-142" w:right="-108"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134</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Агропромснаб</w:t>
            </w:r>
            <w:proofErr w:type="spellEnd"/>
            <w:r w:rsidRPr="009A3329">
              <w:rPr>
                <w:rFonts w:ascii="Times New Roman" w:eastAsia="Times New Roman" w:hAnsi="Times New Roman"/>
                <w:color w:val="000000"/>
                <w:lang w:eastAsia="ru-RU"/>
              </w:rPr>
              <w:t>»</w:t>
            </w:r>
          </w:p>
        </w:tc>
        <w:tc>
          <w:tcPr>
            <w:tcW w:w="1276" w:type="dxa"/>
            <w:shd w:val="clear" w:color="auto" w:fill="auto"/>
            <w:hideMark/>
          </w:tcPr>
          <w:p w:rsidR="006A785B" w:rsidRPr="009A3329" w:rsidRDefault="00890EC6" w:rsidP="006A785B">
            <w:pPr>
              <w:ind w:firstLine="0"/>
              <w:jc w:val="center"/>
              <w:rPr>
                <w:rFonts w:ascii="Times New Roman" w:eastAsia="Times New Roman" w:hAnsi="Times New Roman"/>
                <w:color w:val="000000"/>
                <w:lang w:eastAsia="ru-RU"/>
              </w:rPr>
            </w:pPr>
            <w:r w:rsidRPr="00890EC6">
              <w:rPr>
                <w:rFonts w:ascii="Times New Roman" w:eastAsia="Times New Roman" w:hAnsi="Times New Roman"/>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Деятельность автобусного транс</w:t>
            </w:r>
            <w:r w:rsidRPr="009A3329">
              <w:rPr>
                <w:rFonts w:ascii="Times New Roman" w:eastAsia="Times New Roman" w:hAnsi="Times New Roman"/>
                <w:color w:val="000000"/>
                <w:lang w:eastAsia="ru-RU"/>
              </w:rPr>
              <w:softHyphen/>
              <w:t>порта по регулярным внутриго</w:t>
            </w:r>
            <w:r w:rsidRPr="009A3329">
              <w:rPr>
                <w:rFonts w:ascii="Times New Roman" w:eastAsia="Times New Roman" w:hAnsi="Times New Roman"/>
                <w:color w:val="000000"/>
                <w:lang w:eastAsia="ru-RU"/>
              </w:rPr>
              <w:softHyphen/>
              <w:t>родским и пригородным пасса</w:t>
            </w:r>
            <w:r w:rsidRPr="009A3329">
              <w:rPr>
                <w:rFonts w:ascii="Times New Roman" w:eastAsia="Times New Roman" w:hAnsi="Times New Roman"/>
                <w:color w:val="000000"/>
                <w:lang w:eastAsia="ru-RU"/>
              </w:rPr>
              <w:softHyphen/>
              <w:t>жирским перевозкам</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Муниципальный район </w:t>
            </w:r>
            <w:proofErr w:type="spellStart"/>
            <w:r w:rsidRPr="009A3329">
              <w:rPr>
                <w:rFonts w:ascii="Times New Roman" w:eastAsia="Times New Roman" w:hAnsi="Times New Roman"/>
                <w:color w:val="000000"/>
                <w:lang w:eastAsia="ru-RU"/>
              </w:rPr>
              <w:t>Клявлинский</w:t>
            </w:r>
            <w:proofErr w:type="spellEnd"/>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890EC6" w:rsidRDefault="00890EC6" w:rsidP="006A785B">
            <w:pPr>
              <w:ind w:firstLine="0"/>
              <w:jc w:val="center"/>
              <w:rPr>
                <w:rFonts w:ascii="Times New Roman" w:eastAsia="Times New Roman" w:hAnsi="Times New Roman"/>
                <w:color w:val="000000"/>
                <w:lang w:eastAsia="ru-RU"/>
              </w:rPr>
            </w:pPr>
            <w:r w:rsidRPr="00890EC6">
              <w:rPr>
                <w:rFonts w:ascii="Times New Roman" w:eastAsia="Times New Roman" w:hAnsi="Times New Roman"/>
                <w:color w:val="000000"/>
                <w:lang w:eastAsia="ru-RU"/>
              </w:rPr>
              <w:t>5</w:t>
            </w:r>
            <w:r>
              <w:rPr>
                <w:rFonts w:ascii="Times New Roman" w:eastAsia="Times New Roman" w:hAnsi="Times New Roman"/>
                <w:color w:val="000000"/>
                <w:lang w:eastAsia="ru-RU"/>
              </w:rPr>
              <w:t> </w:t>
            </w:r>
            <w:r w:rsidRPr="00890EC6">
              <w:rPr>
                <w:rFonts w:ascii="Times New Roman" w:eastAsia="Times New Roman" w:hAnsi="Times New Roman"/>
                <w:color w:val="000000"/>
                <w:lang w:eastAsia="ru-RU"/>
              </w:rPr>
              <w:t>940</w:t>
            </w:r>
            <w:r>
              <w:rPr>
                <w:rFonts w:ascii="Times New Roman" w:eastAsia="Times New Roman" w:hAnsi="Times New Roman"/>
                <w:color w:val="000000"/>
                <w:lang w:eastAsia="ru-RU"/>
              </w:rPr>
              <w:t xml:space="preserve"> </w:t>
            </w:r>
            <w:r w:rsidRPr="00890EC6">
              <w:rPr>
                <w:rFonts w:ascii="Times New Roman" w:eastAsia="Times New Roman" w:hAnsi="Times New Roman"/>
                <w:color w:val="000000"/>
                <w:lang w:eastAsia="ru-RU"/>
              </w:rPr>
              <w:t>152,28</w:t>
            </w:r>
          </w:p>
        </w:tc>
      </w:tr>
      <w:tr w:rsidR="006A785B" w:rsidRPr="009A3329" w:rsidTr="00201186">
        <w:trPr>
          <w:trHeight w:val="691"/>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6A785B" w:rsidP="006A785B">
            <w:pPr>
              <w:ind w:left="-142" w:right="-108"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135</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предприятие «Производственное объедине</w:t>
            </w:r>
            <w:r w:rsidRPr="009A3329">
              <w:rPr>
                <w:rFonts w:ascii="Times New Roman" w:eastAsia="Times New Roman" w:hAnsi="Times New Roman"/>
                <w:color w:val="000000"/>
                <w:lang w:eastAsia="ru-RU"/>
              </w:rPr>
              <w:softHyphen/>
              <w:t xml:space="preserve">ние ЖКХ </w:t>
            </w:r>
            <w:proofErr w:type="spellStart"/>
            <w:r w:rsidRPr="009A3329">
              <w:rPr>
                <w:rFonts w:ascii="Times New Roman" w:eastAsia="Times New Roman" w:hAnsi="Times New Roman"/>
                <w:color w:val="000000"/>
                <w:lang w:eastAsia="ru-RU"/>
              </w:rPr>
              <w:t>Клявлинского</w:t>
            </w:r>
            <w:proofErr w:type="spellEnd"/>
            <w:r w:rsidRPr="009A3329">
              <w:rPr>
                <w:rFonts w:ascii="Times New Roman" w:eastAsia="Times New Roman" w:hAnsi="Times New Roman"/>
                <w:color w:val="000000"/>
                <w:lang w:eastAsia="ru-RU"/>
              </w:rPr>
              <w:t xml:space="preserve"> района»</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Оказание жилищно-коммунальных услуг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Муниципальный район </w:t>
            </w:r>
            <w:proofErr w:type="spellStart"/>
            <w:r w:rsidRPr="009A3329">
              <w:rPr>
                <w:rFonts w:ascii="Times New Roman" w:eastAsia="Times New Roman" w:hAnsi="Times New Roman"/>
                <w:color w:val="000000"/>
                <w:lang w:eastAsia="ru-RU"/>
              </w:rPr>
              <w:t>Клявлинский</w:t>
            </w:r>
            <w:proofErr w:type="spellEnd"/>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1052"/>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6A785B" w:rsidP="006A785B">
            <w:pPr>
              <w:ind w:left="-142" w:right="-108"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136</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предприятие «Сервис»</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Распределение воды для питьевых и промышленных нужд. Деятель</w:t>
            </w:r>
            <w:r w:rsidRPr="009A3329">
              <w:rPr>
                <w:rFonts w:ascii="Times New Roman" w:eastAsia="Times New Roman" w:hAnsi="Times New Roman"/>
                <w:color w:val="000000"/>
                <w:lang w:eastAsia="ru-RU"/>
              </w:rPr>
              <w:softHyphen/>
              <w:t xml:space="preserve">ность по чистке и уборке жилых зданий и нежилых помещений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Муниципальный район </w:t>
            </w:r>
            <w:proofErr w:type="spellStart"/>
            <w:r w:rsidRPr="009A3329">
              <w:rPr>
                <w:rFonts w:ascii="Times New Roman" w:eastAsia="Times New Roman" w:hAnsi="Times New Roman"/>
                <w:color w:val="000000"/>
                <w:lang w:eastAsia="ru-RU"/>
              </w:rPr>
              <w:t>Клявлинский</w:t>
            </w:r>
            <w:proofErr w:type="spellEnd"/>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3D1EBB" w:rsidRDefault="003D1EBB" w:rsidP="006A785B">
            <w:pPr>
              <w:ind w:firstLine="0"/>
              <w:jc w:val="center"/>
              <w:rPr>
                <w:rFonts w:ascii="Times New Roman" w:eastAsia="Times New Roman" w:hAnsi="Times New Roman"/>
                <w:color w:val="000000"/>
                <w:lang w:eastAsia="ru-RU"/>
              </w:rPr>
            </w:pPr>
            <w:r w:rsidRPr="003D1EBB">
              <w:rPr>
                <w:rFonts w:ascii="Times New Roman" w:eastAsia="Times New Roman" w:hAnsi="Times New Roman"/>
                <w:color w:val="000000"/>
                <w:lang w:eastAsia="ru-RU"/>
              </w:rPr>
              <w:t>1</w:t>
            </w:r>
            <w:r>
              <w:rPr>
                <w:rFonts w:ascii="Times New Roman" w:eastAsia="Times New Roman" w:hAnsi="Times New Roman"/>
                <w:color w:val="000000"/>
                <w:lang w:eastAsia="ru-RU"/>
              </w:rPr>
              <w:t> </w:t>
            </w:r>
            <w:r w:rsidRPr="003D1EBB">
              <w:rPr>
                <w:rFonts w:ascii="Times New Roman" w:eastAsia="Times New Roman" w:hAnsi="Times New Roman"/>
                <w:color w:val="000000"/>
                <w:lang w:eastAsia="ru-RU"/>
              </w:rPr>
              <w:t>616</w:t>
            </w:r>
            <w:r>
              <w:rPr>
                <w:rFonts w:ascii="Times New Roman" w:eastAsia="Times New Roman" w:hAnsi="Times New Roman"/>
                <w:color w:val="000000"/>
                <w:lang w:eastAsia="ru-RU"/>
              </w:rPr>
              <w:t xml:space="preserve"> </w:t>
            </w:r>
            <w:bookmarkStart w:id="0" w:name="_GoBack"/>
            <w:bookmarkEnd w:id="0"/>
            <w:r w:rsidRPr="003D1EBB">
              <w:rPr>
                <w:rFonts w:ascii="Times New Roman" w:eastAsia="Times New Roman" w:hAnsi="Times New Roman"/>
                <w:color w:val="000000"/>
                <w:lang w:eastAsia="ru-RU"/>
              </w:rPr>
              <w:t>161,62</w:t>
            </w:r>
          </w:p>
        </w:tc>
      </w:tr>
    </w:tbl>
    <w:p w:rsidR="00ED1B95" w:rsidRPr="0074692C" w:rsidRDefault="00ED1B95" w:rsidP="006A785B">
      <w:pPr>
        <w:ind w:firstLine="0"/>
        <w:jc w:val="both"/>
        <w:rPr>
          <w:rFonts w:ascii="Times New Roman" w:eastAsia="Times New Roman" w:hAnsi="Times New Roman"/>
          <w:sz w:val="28"/>
          <w:szCs w:val="28"/>
          <w:lang w:eastAsia="ru-RU"/>
        </w:rPr>
      </w:pPr>
    </w:p>
    <w:sectPr w:rsidR="00ED1B95" w:rsidRPr="0074692C" w:rsidSect="006A785B">
      <w:headerReference w:type="default" r:id="rId9"/>
      <w:pgSz w:w="16838" w:h="11906" w:orient="landscape"/>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0B" w:rsidRDefault="00F7190B" w:rsidP="003936B6">
      <w:r>
        <w:separator/>
      </w:r>
    </w:p>
  </w:endnote>
  <w:endnote w:type="continuationSeparator" w:id="0">
    <w:p w:rsidR="00F7190B" w:rsidRDefault="00F7190B"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0B" w:rsidRDefault="00F7190B" w:rsidP="003936B6">
      <w:r>
        <w:separator/>
      </w:r>
    </w:p>
  </w:footnote>
  <w:footnote w:type="continuationSeparator" w:id="0">
    <w:p w:rsidR="00F7190B" w:rsidRDefault="00F7190B" w:rsidP="0039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F5740D" w:rsidRPr="004D6086" w:rsidRDefault="00F5740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CC15B1">
          <w:rPr>
            <w:rFonts w:ascii="Times New Roman" w:hAnsi="Times New Roman"/>
            <w:noProof/>
            <w:sz w:val="24"/>
            <w:szCs w:val="24"/>
          </w:rPr>
          <w:t>7</w:t>
        </w:r>
        <w:r w:rsidRPr="004D608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5A5B"/>
    <w:rsid w:val="000268C9"/>
    <w:rsid w:val="00032186"/>
    <w:rsid w:val="00032DAE"/>
    <w:rsid w:val="00035478"/>
    <w:rsid w:val="00036819"/>
    <w:rsid w:val="0004133E"/>
    <w:rsid w:val="00046394"/>
    <w:rsid w:val="000505CD"/>
    <w:rsid w:val="00072E95"/>
    <w:rsid w:val="00075B0E"/>
    <w:rsid w:val="00076607"/>
    <w:rsid w:val="00080615"/>
    <w:rsid w:val="000816F4"/>
    <w:rsid w:val="000855BD"/>
    <w:rsid w:val="00091B67"/>
    <w:rsid w:val="000A752B"/>
    <w:rsid w:val="000B3C43"/>
    <w:rsid w:val="000C03A5"/>
    <w:rsid w:val="000C5301"/>
    <w:rsid w:val="000C7AFA"/>
    <w:rsid w:val="000E6513"/>
    <w:rsid w:val="000E7B23"/>
    <w:rsid w:val="000F0CF1"/>
    <w:rsid w:val="000F183E"/>
    <w:rsid w:val="000F1C22"/>
    <w:rsid w:val="000F6275"/>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411A8"/>
    <w:rsid w:val="001451E2"/>
    <w:rsid w:val="001515EE"/>
    <w:rsid w:val="00152B92"/>
    <w:rsid w:val="0015778F"/>
    <w:rsid w:val="001603B6"/>
    <w:rsid w:val="00161E97"/>
    <w:rsid w:val="0016284F"/>
    <w:rsid w:val="00163D92"/>
    <w:rsid w:val="00166B2A"/>
    <w:rsid w:val="001719EF"/>
    <w:rsid w:val="0017219E"/>
    <w:rsid w:val="00172901"/>
    <w:rsid w:val="00183E8F"/>
    <w:rsid w:val="0018440A"/>
    <w:rsid w:val="001852A1"/>
    <w:rsid w:val="0019064B"/>
    <w:rsid w:val="001934EB"/>
    <w:rsid w:val="00194AAA"/>
    <w:rsid w:val="00197F0E"/>
    <w:rsid w:val="001A1B84"/>
    <w:rsid w:val="001A6341"/>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51A2"/>
    <w:rsid w:val="00243A45"/>
    <w:rsid w:val="0026560E"/>
    <w:rsid w:val="0027083D"/>
    <w:rsid w:val="00271D14"/>
    <w:rsid w:val="002739D9"/>
    <w:rsid w:val="00274966"/>
    <w:rsid w:val="00283E2F"/>
    <w:rsid w:val="00285BBB"/>
    <w:rsid w:val="00292B43"/>
    <w:rsid w:val="0029360B"/>
    <w:rsid w:val="002A00D4"/>
    <w:rsid w:val="002B77A8"/>
    <w:rsid w:val="002C1BF6"/>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936B6"/>
    <w:rsid w:val="003A274A"/>
    <w:rsid w:val="003A6785"/>
    <w:rsid w:val="003C75F0"/>
    <w:rsid w:val="003D06C8"/>
    <w:rsid w:val="003D1EBB"/>
    <w:rsid w:val="003D2F9D"/>
    <w:rsid w:val="003D3162"/>
    <w:rsid w:val="003F04C3"/>
    <w:rsid w:val="003F0933"/>
    <w:rsid w:val="003F3537"/>
    <w:rsid w:val="003F7EC1"/>
    <w:rsid w:val="00402680"/>
    <w:rsid w:val="00403442"/>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6A91"/>
    <w:rsid w:val="004B3BAB"/>
    <w:rsid w:val="004B739D"/>
    <w:rsid w:val="004C0081"/>
    <w:rsid w:val="004C0AEB"/>
    <w:rsid w:val="004D54E4"/>
    <w:rsid w:val="004D6086"/>
    <w:rsid w:val="004E14BD"/>
    <w:rsid w:val="004E2115"/>
    <w:rsid w:val="004E3ADF"/>
    <w:rsid w:val="00501977"/>
    <w:rsid w:val="00510FAC"/>
    <w:rsid w:val="0051306A"/>
    <w:rsid w:val="00514D84"/>
    <w:rsid w:val="005162F3"/>
    <w:rsid w:val="00522A25"/>
    <w:rsid w:val="00527EF6"/>
    <w:rsid w:val="005459FF"/>
    <w:rsid w:val="005460D3"/>
    <w:rsid w:val="00546AB8"/>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67DA"/>
    <w:rsid w:val="006019D2"/>
    <w:rsid w:val="006138DC"/>
    <w:rsid w:val="00623C54"/>
    <w:rsid w:val="00625E19"/>
    <w:rsid w:val="00627EBF"/>
    <w:rsid w:val="00636F40"/>
    <w:rsid w:val="006448A7"/>
    <w:rsid w:val="00653DC7"/>
    <w:rsid w:val="00654A6E"/>
    <w:rsid w:val="00656FC6"/>
    <w:rsid w:val="0066321E"/>
    <w:rsid w:val="00665BFD"/>
    <w:rsid w:val="00683B38"/>
    <w:rsid w:val="006A785B"/>
    <w:rsid w:val="006B0286"/>
    <w:rsid w:val="006B5441"/>
    <w:rsid w:val="006C0B1A"/>
    <w:rsid w:val="006C0C1A"/>
    <w:rsid w:val="006C16B1"/>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57F"/>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E1D3B"/>
    <w:rsid w:val="007E2BA1"/>
    <w:rsid w:val="007E2C7C"/>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0EC6"/>
    <w:rsid w:val="008915B1"/>
    <w:rsid w:val="008948C6"/>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96F1E"/>
    <w:rsid w:val="009A3329"/>
    <w:rsid w:val="009B0F64"/>
    <w:rsid w:val="009C077B"/>
    <w:rsid w:val="009C495F"/>
    <w:rsid w:val="009D5FA9"/>
    <w:rsid w:val="009F09A2"/>
    <w:rsid w:val="00A02F34"/>
    <w:rsid w:val="00A1129A"/>
    <w:rsid w:val="00A11BDD"/>
    <w:rsid w:val="00A12ADD"/>
    <w:rsid w:val="00A141B6"/>
    <w:rsid w:val="00A1465B"/>
    <w:rsid w:val="00A22270"/>
    <w:rsid w:val="00A23C24"/>
    <w:rsid w:val="00A2733A"/>
    <w:rsid w:val="00A34178"/>
    <w:rsid w:val="00A374E4"/>
    <w:rsid w:val="00A405A8"/>
    <w:rsid w:val="00A426F5"/>
    <w:rsid w:val="00A477DF"/>
    <w:rsid w:val="00A54DC8"/>
    <w:rsid w:val="00A5757D"/>
    <w:rsid w:val="00A652FE"/>
    <w:rsid w:val="00A70B1C"/>
    <w:rsid w:val="00A752E2"/>
    <w:rsid w:val="00A7613E"/>
    <w:rsid w:val="00A802A2"/>
    <w:rsid w:val="00A80F28"/>
    <w:rsid w:val="00A81EB1"/>
    <w:rsid w:val="00A83CBA"/>
    <w:rsid w:val="00A84076"/>
    <w:rsid w:val="00AA04CB"/>
    <w:rsid w:val="00AA08FB"/>
    <w:rsid w:val="00AA1E8F"/>
    <w:rsid w:val="00AA2572"/>
    <w:rsid w:val="00AA2C2E"/>
    <w:rsid w:val="00AA35A8"/>
    <w:rsid w:val="00AA740C"/>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17E1"/>
    <w:rsid w:val="00B42535"/>
    <w:rsid w:val="00B57905"/>
    <w:rsid w:val="00B62D00"/>
    <w:rsid w:val="00B63F44"/>
    <w:rsid w:val="00B72603"/>
    <w:rsid w:val="00B75936"/>
    <w:rsid w:val="00B7734D"/>
    <w:rsid w:val="00B801A8"/>
    <w:rsid w:val="00B80EF3"/>
    <w:rsid w:val="00B823EC"/>
    <w:rsid w:val="00B96D4C"/>
    <w:rsid w:val="00B97FB6"/>
    <w:rsid w:val="00BB04F5"/>
    <w:rsid w:val="00BB1021"/>
    <w:rsid w:val="00BB3DC7"/>
    <w:rsid w:val="00BB3DDC"/>
    <w:rsid w:val="00BB3FAF"/>
    <w:rsid w:val="00BB653E"/>
    <w:rsid w:val="00BD28BC"/>
    <w:rsid w:val="00BD2A2E"/>
    <w:rsid w:val="00BD2C90"/>
    <w:rsid w:val="00BD4229"/>
    <w:rsid w:val="00BE3EA2"/>
    <w:rsid w:val="00BF32AC"/>
    <w:rsid w:val="00C021C5"/>
    <w:rsid w:val="00C1284A"/>
    <w:rsid w:val="00C229A3"/>
    <w:rsid w:val="00C22AE3"/>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5B1"/>
    <w:rsid w:val="00CC1941"/>
    <w:rsid w:val="00CD1AA6"/>
    <w:rsid w:val="00CF74B0"/>
    <w:rsid w:val="00D11B93"/>
    <w:rsid w:val="00D13B2F"/>
    <w:rsid w:val="00D23E5B"/>
    <w:rsid w:val="00D352C1"/>
    <w:rsid w:val="00D45F43"/>
    <w:rsid w:val="00D51370"/>
    <w:rsid w:val="00D53D9A"/>
    <w:rsid w:val="00D5794F"/>
    <w:rsid w:val="00D662BA"/>
    <w:rsid w:val="00D82827"/>
    <w:rsid w:val="00D95AC1"/>
    <w:rsid w:val="00D97FE7"/>
    <w:rsid w:val="00DA19CA"/>
    <w:rsid w:val="00DA2A42"/>
    <w:rsid w:val="00DA2B7B"/>
    <w:rsid w:val="00DA420A"/>
    <w:rsid w:val="00DA5AF4"/>
    <w:rsid w:val="00DB6D37"/>
    <w:rsid w:val="00DC19EC"/>
    <w:rsid w:val="00DC5CBD"/>
    <w:rsid w:val="00DD041D"/>
    <w:rsid w:val="00DD2D5E"/>
    <w:rsid w:val="00DD3526"/>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190B"/>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39B6-EA06-4E7D-B094-A2899B83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АлексееваПК</cp:lastModifiedBy>
  <cp:revision>3</cp:revision>
  <cp:lastPrinted>2020-03-06T13:02:00Z</cp:lastPrinted>
  <dcterms:created xsi:type="dcterms:W3CDTF">2022-02-08T06:52:00Z</dcterms:created>
  <dcterms:modified xsi:type="dcterms:W3CDTF">2022-02-08T06:53:00Z</dcterms:modified>
</cp:coreProperties>
</file>