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7B0DD4" w:rsidRDefault="007B0DD4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ое Семенкино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2624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DC556D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8A58B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палаты муниципального района Клявлинский Самарской области от 20.12.2022 года № 83;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Председателя Счетной палаты муниципального района Клявлинский Самарской области от 23.06.2023 года № </w:t>
      </w:r>
      <w:r w:rsidR="0033591A">
        <w:rPr>
          <w:rFonts w:ascii="Times New Roman" w:hAnsi="Times New Roman"/>
          <w:color w:val="auto"/>
          <w:sz w:val="26"/>
          <w:szCs w:val="26"/>
        </w:rPr>
        <w:t>41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02D04" w:rsidRPr="00502D0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680A0F">
        <w:rPr>
          <w:rFonts w:ascii="Times New Roman" w:hAnsi="Times New Roman"/>
          <w:color w:val="auto"/>
          <w:sz w:val="26"/>
          <w:szCs w:val="26"/>
        </w:rPr>
        <w:t>ое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0A0F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0D8E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23.06.2023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0D8E">
        <w:rPr>
          <w:rFonts w:ascii="Times New Roman" w:hAnsi="Times New Roman"/>
          <w:color w:val="auto"/>
          <w:sz w:val="26"/>
          <w:szCs w:val="26"/>
        </w:rPr>
        <w:t xml:space="preserve">153 </w:t>
      </w:r>
      <w:r w:rsidRPr="00DC556D">
        <w:rPr>
          <w:rFonts w:ascii="Times New Roman" w:hAnsi="Times New Roman"/>
          <w:color w:val="auto"/>
          <w:sz w:val="26"/>
          <w:szCs w:val="26"/>
        </w:rPr>
        <w:t>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lastRenderedPageBreak/>
        <w:t>Семенкино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7D3D32" w:rsidRPr="00DC556D" w:rsidRDefault="007D3D32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7D3D32">
        <w:rPr>
          <w:rFonts w:ascii="Times New Roman" w:hAnsi="Times New Roman"/>
          <w:color w:val="auto"/>
          <w:sz w:val="26"/>
          <w:szCs w:val="26"/>
        </w:rPr>
        <w:t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Семенкино муниципального района Клявлинский Самарской области на 2023 год».</w:t>
      </w:r>
    </w:p>
    <w:p w:rsidR="00DC556D" w:rsidRPr="00DC556D" w:rsidRDefault="00E5294B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A4E02"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год. 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4C4ECC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51C5D" w:rsidRPr="004C4ECC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4C4ECC" w:rsidRPr="004C4ECC">
        <w:rPr>
          <w:rFonts w:ascii="Times New Roman" w:hAnsi="Times New Roman"/>
          <w:color w:val="auto"/>
          <w:sz w:val="26"/>
          <w:szCs w:val="26"/>
        </w:rPr>
        <w:t>28</w:t>
      </w:r>
      <w:r w:rsidRPr="004C4ECC">
        <w:rPr>
          <w:rFonts w:ascii="Times New Roman" w:hAnsi="Times New Roman"/>
          <w:color w:val="auto"/>
          <w:sz w:val="26"/>
          <w:szCs w:val="26"/>
        </w:rPr>
        <w:t>.0</w:t>
      </w:r>
      <w:r w:rsidR="004C4ECC" w:rsidRPr="004C4ECC">
        <w:rPr>
          <w:rFonts w:ascii="Times New Roman" w:hAnsi="Times New Roman"/>
          <w:color w:val="auto"/>
          <w:sz w:val="26"/>
          <w:szCs w:val="26"/>
        </w:rPr>
        <w:t>4</w:t>
      </w:r>
      <w:r w:rsidRPr="004C4ECC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4C4ECC">
        <w:rPr>
          <w:rFonts w:ascii="Times New Roman" w:hAnsi="Times New Roman"/>
          <w:color w:val="auto"/>
          <w:sz w:val="26"/>
          <w:szCs w:val="26"/>
        </w:rPr>
        <w:t>13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AD052B">
        <w:rPr>
          <w:rFonts w:ascii="Times New Roman" w:hAnsi="Times New Roman"/>
          <w:color w:val="auto"/>
          <w:sz w:val="26"/>
          <w:szCs w:val="26"/>
        </w:rPr>
        <w:t>6 234,707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4C4ECC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4C4ECC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4C4EC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4C4ECC">
        <w:rPr>
          <w:rFonts w:ascii="Times New Roman" w:hAnsi="Times New Roman"/>
          <w:bCs/>
          <w:color w:val="auto"/>
          <w:sz w:val="26"/>
          <w:szCs w:val="26"/>
        </w:rPr>
        <w:t>6 379,401</w:t>
      </w:r>
      <w:r w:rsidR="00A85DAE" w:rsidRPr="004C4EC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0E23FF" w:rsidRDefault="00DC556D" w:rsidP="00DC5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14E6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214E6E">
        <w:rPr>
          <w:rFonts w:ascii="Times New Roman" w:hAnsi="Times New Roman"/>
          <w:bCs/>
          <w:color w:val="auto"/>
          <w:sz w:val="26"/>
          <w:szCs w:val="26"/>
        </w:rPr>
        <w:t>в сумме 0,000</w:t>
      </w:r>
      <w:r w:rsidRPr="00214E6E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202B00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1C3192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33081E" w:rsidRPr="0033081E">
        <w:rPr>
          <w:rFonts w:ascii="Times New Roman" w:hAnsi="Times New Roman"/>
          <w:b/>
          <w:bCs/>
          <w:color w:val="auto"/>
          <w:sz w:val="26"/>
          <w:szCs w:val="26"/>
        </w:rPr>
        <w:t>Старое Семенкино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DC556D">
      <w:pPr>
        <w:autoSpaceDE w:val="0"/>
        <w:autoSpaceDN w:val="0"/>
        <w:adjustRightInd w:val="0"/>
        <w:spacing w:line="320" w:lineRule="exact"/>
        <w:ind w:left="710"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BB485F" w:rsidRPr="00BB485F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153CD2">
      <w:pPr>
        <w:ind w:left="-426" w:firstLine="852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56349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BB485F" w:rsidRPr="00BB485F">
        <w:rPr>
          <w:rFonts w:ascii="Times New Roman" w:hAnsi="Times New Roman"/>
          <w:b/>
          <w:sz w:val="26"/>
          <w:szCs w:val="26"/>
        </w:rPr>
        <w:t xml:space="preserve">Старое Семенкино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BB485F" w:rsidRPr="00BB485F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24"/>
        <w:gridCol w:w="3852"/>
        <w:gridCol w:w="1701"/>
        <w:gridCol w:w="1275"/>
        <w:gridCol w:w="1418"/>
      </w:tblGrid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3C" w:rsidRDefault="00914BEE" w:rsidP="003716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371620"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</w:t>
            </w: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371620"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EE433C" w:rsidRDefault="00914BEE" w:rsidP="003716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371620"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BF2E57">
            <w:pPr>
              <w:tabs>
                <w:tab w:val="left" w:pos="255"/>
                <w:tab w:val="left" w:pos="405"/>
                <w:tab w:val="left" w:pos="555"/>
                <w:tab w:val="left" w:pos="8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575A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E433C" w:rsidRDefault="00F165BB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1 376,313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13415A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1 368,738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F165BB" w:rsidRDefault="0013415A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- 7,575</w:t>
            </w:r>
          </w:p>
        </w:tc>
      </w:tr>
      <w:tr w:rsidR="00914BEE" w:rsidRPr="00914BEE" w:rsidTr="00914BEE"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5A2575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772,995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772,995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F165BB" w:rsidRDefault="005A2575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529,373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529,373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119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119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3,925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119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- 7,575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E06AB6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A44D85" w:rsidRDefault="00A44D85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BF2E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E34FEB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8D792A" w:rsidRDefault="00226E76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="00BF2E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52,660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86,660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+ 34,000</w:t>
            </w:r>
          </w:p>
        </w:tc>
      </w:tr>
      <w:tr w:rsidR="00226E76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86,660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6F09C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+ 34,000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505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8D05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236D0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974,208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236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921,563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3236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- 52,645</w:t>
            </w:r>
          </w:p>
        </w:tc>
      </w:tr>
      <w:tr w:rsidR="00FA266D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3236D0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3236D0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236D0">
              <w:rPr>
                <w:rFonts w:ascii="Times New Roman" w:hAnsi="Times New Roman"/>
                <w:color w:val="auto"/>
                <w:sz w:val="22"/>
                <w:szCs w:val="22"/>
              </w:rPr>
              <w:t>625,072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DC4F6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625,072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DC4F6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3236D0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349,136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DC4F6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296,491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DC4F6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- 52,645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0C4481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75501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C390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2 891,151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+ 26,220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2 891,151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+ 26,220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168,500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168,500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168,500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168,500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A405D0" w:rsidP="00454F8F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6 379,401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7E1D79" w:rsidP="008E3165">
            <w:pPr>
              <w:autoSpaceDE w:val="0"/>
              <w:autoSpaceDN w:val="0"/>
              <w:adjustRightInd w:val="0"/>
              <w:spacing w:line="240" w:lineRule="auto"/>
              <w:ind w:right="19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405D0"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6 379,401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A405D0" w:rsidP="001442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>
        <w:rPr>
          <w:rFonts w:ascii="Times New Roman" w:hAnsi="Times New Roman"/>
          <w:color w:val="auto"/>
          <w:sz w:val="26"/>
          <w:szCs w:val="26"/>
        </w:rPr>
        <w:t>меньшение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6C53EE" w:rsidRPr="006C53E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BC68C0" w:rsidRDefault="00BC68C0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C68C0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 w:rsidR="00E139C5">
        <w:rPr>
          <w:rFonts w:ascii="Times New Roman" w:hAnsi="Times New Roman"/>
          <w:color w:val="auto"/>
          <w:sz w:val="26"/>
          <w:szCs w:val="26"/>
        </w:rPr>
        <w:t>7,575</w:t>
      </w:r>
      <w:r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607117">
        <w:rPr>
          <w:rFonts w:ascii="Times New Roman" w:hAnsi="Times New Roman"/>
          <w:color w:val="auto"/>
          <w:sz w:val="26"/>
          <w:szCs w:val="26"/>
        </w:rPr>
        <w:t>;</w:t>
      </w:r>
    </w:p>
    <w:p w:rsidR="00607117" w:rsidRDefault="00607117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07117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52,645</w:t>
      </w:r>
      <w:r w:rsidRPr="0060711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Pr="001E3578" w:rsidRDefault="001E3578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величение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6C53EE" w:rsidRPr="006C53E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1E357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1E3578" w:rsidRDefault="00766B15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66B15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 w:rsidR="001E35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E3578" w:rsidRPr="001E3578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26,220</w:t>
      </w:r>
      <w:r w:rsidR="001E3578" w:rsidRPr="001E3578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F01F04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Default="00F01F04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01F04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34,000 тыс. рублей.</w:t>
      </w:r>
    </w:p>
    <w:p w:rsidR="00CE6856" w:rsidRDefault="00CE6856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6C53EE" w:rsidRPr="006C53E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5008F1" w:rsidRPr="00914BEE" w:rsidRDefault="005008F1" w:rsidP="0093012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44D82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71114A" w:rsidRPr="0071114A">
        <w:rPr>
          <w:rFonts w:ascii="Times New Roman" w:hAnsi="Times New Roman"/>
          <w:b/>
          <w:bCs/>
          <w:color w:val="auto"/>
          <w:sz w:val="26"/>
          <w:szCs w:val="26"/>
        </w:rPr>
        <w:t xml:space="preserve">Старое Семенкино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C44D82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008F1" w:rsidRDefault="005008F1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8F1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планируются перераспределение выделенных средств между муниципальными программами </w:t>
      </w:r>
      <w:r w:rsidR="00152B5D">
        <w:rPr>
          <w:rFonts w:ascii="Times New Roman" w:hAnsi="Times New Roman"/>
          <w:color w:val="auto"/>
          <w:sz w:val="26"/>
          <w:szCs w:val="26"/>
        </w:rPr>
        <w:t xml:space="preserve">и непрограммными направлениями </w:t>
      </w:r>
      <w:r w:rsidR="00CC51BF">
        <w:rPr>
          <w:rFonts w:ascii="Times New Roman" w:hAnsi="Times New Roman"/>
          <w:color w:val="auto"/>
          <w:sz w:val="26"/>
          <w:szCs w:val="26"/>
        </w:rPr>
        <w:t xml:space="preserve">расходов местного бюджета </w:t>
      </w:r>
      <w:r w:rsidRPr="005008F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7E4B" w:rsidRPr="00677E4B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5008F1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122BA0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22BA0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134"/>
        <w:gridCol w:w="1418"/>
      </w:tblGrid>
      <w:tr w:rsidR="00914BEE" w:rsidRPr="00914BEE" w:rsidTr="00FB2AC0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678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559" w:type="dxa"/>
          </w:tcPr>
          <w:p w:rsidR="00914BEE" w:rsidRPr="00914BEE" w:rsidRDefault="00914BEE" w:rsidP="00BD7481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Утверждено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Решением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BD7481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28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BD7481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4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</w:t>
            </w:r>
            <w:r w:rsidR="00BD7481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Старое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Семенкино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134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418" w:type="dxa"/>
            <w:vAlign w:val="center"/>
          </w:tcPr>
          <w:p w:rsidR="00914BEE" w:rsidRPr="00BD7481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914BE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Старое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Семенкино</w:t>
            </w:r>
            <w:r w:rsidR="000E2118" w:rsidRPr="000E211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559" w:type="dxa"/>
            <w:vAlign w:val="center"/>
          </w:tcPr>
          <w:p w:rsidR="00914BEE" w:rsidRPr="00BD7481" w:rsidRDefault="00B52972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5 621,077</w:t>
            </w:r>
          </w:p>
        </w:tc>
        <w:tc>
          <w:tcPr>
            <w:tcW w:w="1134" w:type="dxa"/>
            <w:vAlign w:val="center"/>
          </w:tcPr>
          <w:p w:rsidR="00914BEE" w:rsidRPr="00BD7481" w:rsidRDefault="00C726DB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5 628,652</w:t>
            </w:r>
          </w:p>
        </w:tc>
        <w:tc>
          <w:tcPr>
            <w:tcW w:w="1418" w:type="dxa"/>
            <w:vAlign w:val="center"/>
          </w:tcPr>
          <w:p w:rsidR="00210F85" w:rsidRPr="00BD7481" w:rsidRDefault="00B52972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+ 7,575</w:t>
            </w:r>
          </w:p>
        </w:tc>
      </w:tr>
      <w:tr w:rsidR="00210F85" w:rsidRPr="00914BEE" w:rsidTr="00FB2AC0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10F85" w:rsidRPr="00BD7481" w:rsidRDefault="00907C9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11,500</w:t>
            </w:r>
          </w:p>
        </w:tc>
        <w:tc>
          <w:tcPr>
            <w:tcW w:w="1134" w:type="dxa"/>
            <w:vAlign w:val="center"/>
          </w:tcPr>
          <w:p w:rsidR="00210F85" w:rsidRPr="00BD7481" w:rsidRDefault="00C726D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3,925</w:t>
            </w:r>
          </w:p>
        </w:tc>
        <w:tc>
          <w:tcPr>
            <w:tcW w:w="1418" w:type="dxa"/>
            <w:vAlign w:val="center"/>
          </w:tcPr>
          <w:p w:rsidR="00210F85" w:rsidRPr="00BD7481" w:rsidRDefault="00B52972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- 7,575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559" w:type="dxa"/>
          </w:tcPr>
          <w:p w:rsidR="00914BEE" w:rsidRPr="00BD7481" w:rsidRDefault="003B786F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6 379,401</w:t>
            </w:r>
          </w:p>
        </w:tc>
        <w:tc>
          <w:tcPr>
            <w:tcW w:w="1134" w:type="dxa"/>
          </w:tcPr>
          <w:p w:rsidR="00914BEE" w:rsidRPr="00BD7481" w:rsidRDefault="00C726DB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6 379,401</w:t>
            </w:r>
          </w:p>
        </w:tc>
        <w:tc>
          <w:tcPr>
            <w:tcW w:w="1418" w:type="dxa"/>
          </w:tcPr>
          <w:p w:rsidR="00914BEE" w:rsidRPr="00BD7481" w:rsidRDefault="00891BA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B57369" w:rsidRPr="00B57369" w:rsidRDefault="00B57369" w:rsidP="00F321CE">
      <w:pPr>
        <w:tabs>
          <w:tab w:val="left" w:pos="567"/>
        </w:tabs>
        <w:ind w:left="-425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lastRenderedPageBreak/>
        <w:t xml:space="preserve">      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 xml:space="preserve">, дефицит бюджета сельского поселения по сравнению с первоначальными значениями не изменится и составит </w:t>
      </w:r>
      <w:r>
        <w:rPr>
          <w:rFonts w:ascii="Times New Roman" w:hAnsi="Times New Roman"/>
          <w:sz w:val="26"/>
          <w:szCs w:val="26"/>
        </w:rPr>
        <w:t>0,000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лей.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682D1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914BEE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не предусматривается. </w:t>
      </w:r>
      <w:r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405974" w:rsidRPr="00405974" w:rsidRDefault="00730F86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Старое Семенкино по разделу:</w:t>
      </w:r>
    </w:p>
    <w:p w:rsidR="00405974" w:rsidRPr="00405974" w:rsidRDefault="00405974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05974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7,575 тыс. рублей;</w:t>
      </w:r>
    </w:p>
    <w:p w:rsidR="00405974" w:rsidRPr="00405974" w:rsidRDefault="00405974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05974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52,645 тыс. рублей.</w:t>
      </w:r>
    </w:p>
    <w:p w:rsidR="00405974" w:rsidRPr="00405974" w:rsidRDefault="00405974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05974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Старое Семенкино по разделу:</w:t>
      </w:r>
    </w:p>
    <w:p w:rsidR="00405974" w:rsidRPr="00405974" w:rsidRDefault="00405974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05974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26,220 тыс. рублей;</w:t>
      </w:r>
    </w:p>
    <w:p w:rsidR="00405974" w:rsidRPr="00405974" w:rsidRDefault="00405974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05974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 на сумму 34,000 тыс. рублей.</w:t>
      </w:r>
    </w:p>
    <w:p w:rsidR="00405974" w:rsidRPr="00405974" w:rsidRDefault="00AC1053" w:rsidP="00682D19">
      <w:pPr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 xml:space="preserve"> Общая сумма бюджета сельского поселения Старое Семенкино муниципального района Клявлинский Самарской области остается без изменений.</w:t>
      </w:r>
    </w:p>
    <w:p w:rsidR="00914BEE" w:rsidRPr="00914BEE" w:rsidRDefault="00AC1053" w:rsidP="00682D1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AC1053" w:rsidP="00682D1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первоначальными значениями не изменится и составит 0,000 тыс. рублей.</w:t>
      </w:r>
    </w:p>
    <w:p w:rsidR="00DE736D" w:rsidRDefault="00153CD2" w:rsidP="00682D19">
      <w:pPr>
        <w:spacing w:line="320" w:lineRule="exact"/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56349E" w:rsidRDefault="00153CD2" w:rsidP="00682D19">
      <w:pPr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682D19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5E26C0" w:rsidP="00682D19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 полагает возможным принят</w:t>
      </w:r>
      <w:r w:rsidR="007552B8">
        <w:rPr>
          <w:rFonts w:ascii="Times New Roman" w:hAnsi="Times New Roman"/>
          <w:sz w:val="26"/>
          <w:szCs w:val="26"/>
        </w:rPr>
        <w:t>ие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486089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487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33E1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29702B">
        <w:rPr>
          <w:rFonts w:ascii="Times New Roman" w:hAnsi="Times New Roman"/>
          <w:sz w:val="26"/>
          <w:szCs w:val="26"/>
        </w:rPr>
        <w:t xml:space="preserve"> №29 от 28.12.2022 года</w:t>
      </w:r>
      <w:bookmarkStart w:id="0" w:name="_GoBack"/>
      <w:bookmarkEnd w:id="0"/>
      <w:r w:rsidR="00A933E1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682D19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517014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Default="00517014" w:rsidP="002D5AE2">
      <w:pPr>
        <w:spacing w:line="320" w:lineRule="exact"/>
        <w:ind w:hanging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      </w:t>
      </w:r>
      <w:r w:rsidR="0024102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DC556D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94" w:rsidRDefault="00603C94" w:rsidP="00B309D1">
      <w:pPr>
        <w:spacing w:line="240" w:lineRule="auto"/>
      </w:pPr>
      <w:r>
        <w:separator/>
      </w:r>
    </w:p>
  </w:endnote>
  <w:endnote w:type="continuationSeparator" w:id="0">
    <w:p w:rsidR="00603C94" w:rsidRDefault="00603C94" w:rsidP="00B3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5975"/>
      <w:docPartObj>
        <w:docPartGallery w:val="Page Numbers (Bottom of Page)"/>
        <w:docPartUnique/>
      </w:docPartObj>
    </w:sdtPr>
    <w:sdtContent>
      <w:p w:rsidR="00B309D1" w:rsidRDefault="00B30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2B">
          <w:rPr>
            <w:noProof/>
          </w:rPr>
          <w:t>6</w:t>
        </w:r>
        <w:r>
          <w:fldChar w:fldCharType="end"/>
        </w:r>
      </w:p>
    </w:sdtContent>
  </w:sdt>
  <w:p w:rsidR="00B309D1" w:rsidRDefault="00B30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94" w:rsidRDefault="00603C94" w:rsidP="00B309D1">
      <w:pPr>
        <w:spacing w:line="240" w:lineRule="auto"/>
      </w:pPr>
      <w:r>
        <w:separator/>
      </w:r>
    </w:p>
  </w:footnote>
  <w:footnote w:type="continuationSeparator" w:id="0">
    <w:p w:rsidR="00603C94" w:rsidRDefault="00603C94" w:rsidP="00B3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6F53"/>
    <w:rsid w:val="0004104A"/>
    <w:rsid w:val="0004277D"/>
    <w:rsid w:val="000563FA"/>
    <w:rsid w:val="000621FE"/>
    <w:rsid w:val="00071A0D"/>
    <w:rsid w:val="00074AAB"/>
    <w:rsid w:val="000813BD"/>
    <w:rsid w:val="00093FBA"/>
    <w:rsid w:val="000A6EAB"/>
    <w:rsid w:val="000C4481"/>
    <w:rsid w:val="000D1ED4"/>
    <w:rsid w:val="000E2118"/>
    <w:rsid w:val="000E23FF"/>
    <w:rsid w:val="000E7873"/>
    <w:rsid w:val="000F2B08"/>
    <w:rsid w:val="000F517D"/>
    <w:rsid w:val="001150FB"/>
    <w:rsid w:val="00117CC6"/>
    <w:rsid w:val="00122BA0"/>
    <w:rsid w:val="00123ADA"/>
    <w:rsid w:val="00130E71"/>
    <w:rsid w:val="0013415A"/>
    <w:rsid w:val="0014423E"/>
    <w:rsid w:val="00152B5D"/>
    <w:rsid w:val="00153CD2"/>
    <w:rsid w:val="00175D8C"/>
    <w:rsid w:val="00176840"/>
    <w:rsid w:val="00184568"/>
    <w:rsid w:val="00185514"/>
    <w:rsid w:val="00194B87"/>
    <w:rsid w:val="001A67CD"/>
    <w:rsid w:val="001B3B04"/>
    <w:rsid w:val="001C3192"/>
    <w:rsid w:val="001C3904"/>
    <w:rsid w:val="001C5525"/>
    <w:rsid w:val="001C5886"/>
    <w:rsid w:val="001D35EC"/>
    <w:rsid w:val="001D3630"/>
    <w:rsid w:val="001D6CA7"/>
    <w:rsid w:val="001E3578"/>
    <w:rsid w:val="001E4556"/>
    <w:rsid w:val="001E701C"/>
    <w:rsid w:val="00202AE2"/>
    <w:rsid w:val="00202B00"/>
    <w:rsid w:val="002057B5"/>
    <w:rsid w:val="00210F85"/>
    <w:rsid w:val="00214E6E"/>
    <w:rsid w:val="0022186C"/>
    <w:rsid w:val="00221894"/>
    <w:rsid w:val="00226E76"/>
    <w:rsid w:val="002332CF"/>
    <w:rsid w:val="00234B8C"/>
    <w:rsid w:val="0024102B"/>
    <w:rsid w:val="00250397"/>
    <w:rsid w:val="00257CAB"/>
    <w:rsid w:val="002647A2"/>
    <w:rsid w:val="00270EF2"/>
    <w:rsid w:val="002834A2"/>
    <w:rsid w:val="00291454"/>
    <w:rsid w:val="0029702B"/>
    <w:rsid w:val="00297CCD"/>
    <w:rsid w:val="002B12FA"/>
    <w:rsid w:val="002D10AC"/>
    <w:rsid w:val="002D2DC5"/>
    <w:rsid w:val="002D5AE2"/>
    <w:rsid w:val="002D6F17"/>
    <w:rsid w:val="002E3027"/>
    <w:rsid w:val="003010C2"/>
    <w:rsid w:val="0031130E"/>
    <w:rsid w:val="0031191B"/>
    <w:rsid w:val="003236D0"/>
    <w:rsid w:val="003279A3"/>
    <w:rsid w:val="0033081E"/>
    <w:rsid w:val="0033591A"/>
    <w:rsid w:val="003426C3"/>
    <w:rsid w:val="0035249D"/>
    <w:rsid w:val="00355EF2"/>
    <w:rsid w:val="00356699"/>
    <w:rsid w:val="00371620"/>
    <w:rsid w:val="00373BAD"/>
    <w:rsid w:val="00377B11"/>
    <w:rsid w:val="003A4BB9"/>
    <w:rsid w:val="003B6122"/>
    <w:rsid w:val="003B786F"/>
    <w:rsid w:val="003C308D"/>
    <w:rsid w:val="003D3BB4"/>
    <w:rsid w:val="003E2E9C"/>
    <w:rsid w:val="003F2D82"/>
    <w:rsid w:val="003F671D"/>
    <w:rsid w:val="003F7A2E"/>
    <w:rsid w:val="003F7F91"/>
    <w:rsid w:val="00405974"/>
    <w:rsid w:val="0041400C"/>
    <w:rsid w:val="00420D04"/>
    <w:rsid w:val="00432A2B"/>
    <w:rsid w:val="00434EE2"/>
    <w:rsid w:val="00450535"/>
    <w:rsid w:val="00451DD0"/>
    <w:rsid w:val="00454E8D"/>
    <w:rsid w:val="00454F8F"/>
    <w:rsid w:val="004551B8"/>
    <w:rsid w:val="00460F64"/>
    <w:rsid w:val="0046136E"/>
    <w:rsid w:val="00467918"/>
    <w:rsid w:val="004736E7"/>
    <w:rsid w:val="0048250E"/>
    <w:rsid w:val="00486089"/>
    <w:rsid w:val="0049552A"/>
    <w:rsid w:val="004C077C"/>
    <w:rsid w:val="004C4ECC"/>
    <w:rsid w:val="004F6643"/>
    <w:rsid w:val="005008F1"/>
    <w:rsid w:val="00502D04"/>
    <w:rsid w:val="00517014"/>
    <w:rsid w:val="00531D35"/>
    <w:rsid w:val="00542627"/>
    <w:rsid w:val="00547F4D"/>
    <w:rsid w:val="005540D8"/>
    <w:rsid w:val="005606EA"/>
    <w:rsid w:val="0056349E"/>
    <w:rsid w:val="00575A15"/>
    <w:rsid w:val="00591A6A"/>
    <w:rsid w:val="005969BB"/>
    <w:rsid w:val="005A2575"/>
    <w:rsid w:val="005A3ADE"/>
    <w:rsid w:val="005A4C8F"/>
    <w:rsid w:val="005B791C"/>
    <w:rsid w:val="005B7E8C"/>
    <w:rsid w:val="005E26C0"/>
    <w:rsid w:val="005E316F"/>
    <w:rsid w:val="005E4B5F"/>
    <w:rsid w:val="00600471"/>
    <w:rsid w:val="00603C33"/>
    <w:rsid w:val="00603C94"/>
    <w:rsid w:val="00607117"/>
    <w:rsid w:val="00614C73"/>
    <w:rsid w:val="0062608F"/>
    <w:rsid w:val="0063192B"/>
    <w:rsid w:val="00633BFA"/>
    <w:rsid w:val="0063745E"/>
    <w:rsid w:val="00674370"/>
    <w:rsid w:val="00677E4B"/>
    <w:rsid w:val="00680A0F"/>
    <w:rsid w:val="00680CF6"/>
    <w:rsid w:val="00682D19"/>
    <w:rsid w:val="006908C4"/>
    <w:rsid w:val="00694427"/>
    <w:rsid w:val="006A54A3"/>
    <w:rsid w:val="006B1E9B"/>
    <w:rsid w:val="006B5DAA"/>
    <w:rsid w:val="006C53EE"/>
    <w:rsid w:val="006E0D1F"/>
    <w:rsid w:val="006F09CC"/>
    <w:rsid w:val="006F4FC8"/>
    <w:rsid w:val="0071114A"/>
    <w:rsid w:val="00730F86"/>
    <w:rsid w:val="0075501B"/>
    <w:rsid w:val="007552B8"/>
    <w:rsid w:val="00766B15"/>
    <w:rsid w:val="00774684"/>
    <w:rsid w:val="00781CE9"/>
    <w:rsid w:val="007917C6"/>
    <w:rsid w:val="007A1626"/>
    <w:rsid w:val="007B0DD4"/>
    <w:rsid w:val="007D2D37"/>
    <w:rsid w:val="007D3D32"/>
    <w:rsid w:val="007D589D"/>
    <w:rsid w:val="007E08C0"/>
    <w:rsid w:val="007E1D79"/>
    <w:rsid w:val="007E7360"/>
    <w:rsid w:val="008258AE"/>
    <w:rsid w:val="00832516"/>
    <w:rsid w:val="00835A4B"/>
    <w:rsid w:val="00836104"/>
    <w:rsid w:val="00863CC4"/>
    <w:rsid w:val="00867996"/>
    <w:rsid w:val="00880D5F"/>
    <w:rsid w:val="00891BA0"/>
    <w:rsid w:val="008953CA"/>
    <w:rsid w:val="008A0A01"/>
    <w:rsid w:val="008A1B1B"/>
    <w:rsid w:val="008A2ECD"/>
    <w:rsid w:val="008A3879"/>
    <w:rsid w:val="008A50F1"/>
    <w:rsid w:val="008A58B4"/>
    <w:rsid w:val="008B6065"/>
    <w:rsid w:val="008C5783"/>
    <w:rsid w:val="008C78D9"/>
    <w:rsid w:val="008D050C"/>
    <w:rsid w:val="008D792A"/>
    <w:rsid w:val="008E3165"/>
    <w:rsid w:val="008F3E6A"/>
    <w:rsid w:val="008F519F"/>
    <w:rsid w:val="008F5BC8"/>
    <w:rsid w:val="00907C98"/>
    <w:rsid w:val="009120E0"/>
    <w:rsid w:val="00914BEE"/>
    <w:rsid w:val="0091628F"/>
    <w:rsid w:val="0093012E"/>
    <w:rsid w:val="00946BD9"/>
    <w:rsid w:val="009611ED"/>
    <w:rsid w:val="00963D56"/>
    <w:rsid w:val="00972A05"/>
    <w:rsid w:val="00980327"/>
    <w:rsid w:val="009945E6"/>
    <w:rsid w:val="0099518E"/>
    <w:rsid w:val="009C08FD"/>
    <w:rsid w:val="009D476B"/>
    <w:rsid w:val="00A27715"/>
    <w:rsid w:val="00A30B27"/>
    <w:rsid w:val="00A405D0"/>
    <w:rsid w:val="00A44D85"/>
    <w:rsid w:val="00A61285"/>
    <w:rsid w:val="00A85DAE"/>
    <w:rsid w:val="00A933E1"/>
    <w:rsid w:val="00A9473A"/>
    <w:rsid w:val="00A94870"/>
    <w:rsid w:val="00A96F78"/>
    <w:rsid w:val="00AA4E02"/>
    <w:rsid w:val="00AC1053"/>
    <w:rsid w:val="00AC4A99"/>
    <w:rsid w:val="00AD052B"/>
    <w:rsid w:val="00AD0A61"/>
    <w:rsid w:val="00B06B73"/>
    <w:rsid w:val="00B1637C"/>
    <w:rsid w:val="00B23F1C"/>
    <w:rsid w:val="00B309D1"/>
    <w:rsid w:val="00B3515C"/>
    <w:rsid w:val="00B43A1F"/>
    <w:rsid w:val="00B51C5D"/>
    <w:rsid w:val="00B52972"/>
    <w:rsid w:val="00B5537C"/>
    <w:rsid w:val="00B57369"/>
    <w:rsid w:val="00BA36C7"/>
    <w:rsid w:val="00BA4633"/>
    <w:rsid w:val="00BA7465"/>
    <w:rsid w:val="00BB485F"/>
    <w:rsid w:val="00BC6390"/>
    <w:rsid w:val="00BC68C0"/>
    <w:rsid w:val="00BD4623"/>
    <w:rsid w:val="00BD5BE2"/>
    <w:rsid w:val="00BD7481"/>
    <w:rsid w:val="00BE007F"/>
    <w:rsid w:val="00BE3187"/>
    <w:rsid w:val="00BE7495"/>
    <w:rsid w:val="00BF1AB0"/>
    <w:rsid w:val="00BF1D78"/>
    <w:rsid w:val="00BF2E57"/>
    <w:rsid w:val="00BF7F16"/>
    <w:rsid w:val="00C013C4"/>
    <w:rsid w:val="00C02FC8"/>
    <w:rsid w:val="00C05A7A"/>
    <w:rsid w:val="00C2624C"/>
    <w:rsid w:val="00C32A3A"/>
    <w:rsid w:val="00C42B95"/>
    <w:rsid w:val="00C44D82"/>
    <w:rsid w:val="00C726DB"/>
    <w:rsid w:val="00C81D71"/>
    <w:rsid w:val="00C841DD"/>
    <w:rsid w:val="00C95EA7"/>
    <w:rsid w:val="00CB081F"/>
    <w:rsid w:val="00CB6B46"/>
    <w:rsid w:val="00CC34E7"/>
    <w:rsid w:val="00CC51BF"/>
    <w:rsid w:val="00CC63A7"/>
    <w:rsid w:val="00CD1729"/>
    <w:rsid w:val="00CD38E3"/>
    <w:rsid w:val="00CE6856"/>
    <w:rsid w:val="00CF1577"/>
    <w:rsid w:val="00CF4D84"/>
    <w:rsid w:val="00D0096A"/>
    <w:rsid w:val="00D26917"/>
    <w:rsid w:val="00D46866"/>
    <w:rsid w:val="00D74A2D"/>
    <w:rsid w:val="00D75974"/>
    <w:rsid w:val="00DA0D8E"/>
    <w:rsid w:val="00DC4F67"/>
    <w:rsid w:val="00DC556D"/>
    <w:rsid w:val="00DC5ED9"/>
    <w:rsid w:val="00DC7311"/>
    <w:rsid w:val="00DD14FC"/>
    <w:rsid w:val="00DD7B63"/>
    <w:rsid w:val="00DE32DC"/>
    <w:rsid w:val="00DE44F2"/>
    <w:rsid w:val="00DE736D"/>
    <w:rsid w:val="00DF4FCA"/>
    <w:rsid w:val="00E020AD"/>
    <w:rsid w:val="00E0325E"/>
    <w:rsid w:val="00E12AA7"/>
    <w:rsid w:val="00E139C5"/>
    <w:rsid w:val="00E21422"/>
    <w:rsid w:val="00E2459A"/>
    <w:rsid w:val="00E258AA"/>
    <w:rsid w:val="00E40657"/>
    <w:rsid w:val="00E4780E"/>
    <w:rsid w:val="00E47FC2"/>
    <w:rsid w:val="00E5294B"/>
    <w:rsid w:val="00E52B95"/>
    <w:rsid w:val="00E7500E"/>
    <w:rsid w:val="00E8381D"/>
    <w:rsid w:val="00E85116"/>
    <w:rsid w:val="00EB15E0"/>
    <w:rsid w:val="00EB53D2"/>
    <w:rsid w:val="00EB7647"/>
    <w:rsid w:val="00EE433C"/>
    <w:rsid w:val="00EE4DD4"/>
    <w:rsid w:val="00F00118"/>
    <w:rsid w:val="00F00BCB"/>
    <w:rsid w:val="00F01F04"/>
    <w:rsid w:val="00F0312E"/>
    <w:rsid w:val="00F04E3C"/>
    <w:rsid w:val="00F165BB"/>
    <w:rsid w:val="00F26A8A"/>
    <w:rsid w:val="00F31968"/>
    <w:rsid w:val="00F321CE"/>
    <w:rsid w:val="00F350FD"/>
    <w:rsid w:val="00F46F72"/>
    <w:rsid w:val="00F62F0C"/>
    <w:rsid w:val="00F742D1"/>
    <w:rsid w:val="00F859C7"/>
    <w:rsid w:val="00F952E0"/>
    <w:rsid w:val="00F9658F"/>
    <w:rsid w:val="00FA266D"/>
    <w:rsid w:val="00FA4436"/>
    <w:rsid w:val="00FA50D5"/>
    <w:rsid w:val="00FA76D5"/>
    <w:rsid w:val="00FB0C36"/>
    <w:rsid w:val="00FB0E6D"/>
    <w:rsid w:val="00FB2537"/>
    <w:rsid w:val="00FB2AC0"/>
    <w:rsid w:val="00FC63ED"/>
    <w:rsid w:val="00FC6624"/>
    <w:rsid w:val="00FE22F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B08D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449</cp:revision>
  <cp:lastPrinted>2023-06-29T10:50:00Z</cp:lastPrinted>
  <dcterms:created xsi:type="dcterms:W3CDTF">2023-03-27T09:57:00Z</dcterms:created>
  <dcterms:modified xsi:type="dcterms:W3CDTF">2023-06-29T10:51:00Z</dcterms:modified>
</cp:coreProperties>
</file>