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C9" w:rsidRPr="007B6589" w:rsidRDefault="00880CC9"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Черный Ключ муниципального района Клявлинский </w:t>
      </w:r>
    </w:p>
    <w:p w:rsidR="00880CC9" w:rsidRPr="007B6589" w:rsidRDefault="00880CC9" w:rsidP="007B6589">
      <w:pPr>
        <w:jc w:val="center"/>
        <w:rPr>
          <w:sz w:val="28"/>
          <w:szCs w:val="28"/>
        </w:rPr>
      </w:pPr>
      <w:r w:rsidRPr="007B6589">
        <w:rPr>
          <w:sz w:val="28"/>
          <w:szCs w:val="28"/>
        </w:rPr>
        <w:t>Самарской област</w:t>
      </w:r>
      <w:r w:rsidR="00562D4B">
        <w:rPr>
          <w:sz w:val="28"/>
          <w:szCs w:val="28"/>
        </w:rPr>
        <w:t>и за 2023</w:t>
      </w:r>
      <w:r w:rsidRPr="007B6589">
        <w:rPr>
          <w:sz w:val="28"/>
          <w:szCs w:val="28"/>
        </w:rPr>
        <w:t xml:space="preserve"> год</w:t>
      </w:r>
    </w:p>
    <w:p w:rsidR="00880CC9" w:rsidRPr="007B6589" w:rsidRDefault="00880CC9" w:rsidP="007B6589">
      <w:pPr>
        <w:ind w:firstLine="709"/>
        <w:jc w:val="center"/>
        <w:rPr>
          <w:b/>
          <w:sz w:val="28"/>
          <w:szCs w:val="28"/>
        </w:rPr>
      </w:pPr>
    </w:p>
    <w:p w:rsidR="00880CC9" w:rsidRPr="007B6589" w:rsidRDefault="00880CC9"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Черный Ключ муниципального района Клявлинский Самарской области от 31.08.2021 г. № 56 «Об утверждении Положения о муниципальном контроле на</w:t>
      </w:r>
      <w:proofErr w:type="gramEnd"/>
      <w:r w:rsidRPr="007B6589">
        <w:rPr>
          <w:sz w:val="28"/>
          <w:szCs w:val="28"/>
        </w:rPr>
        <w:t xml:space="preserve"> автомобильном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Черный Ключ муниципального района Клявлинский Самарской области»</w:t>
      </w:r>
      <w:r w:rsidRPr="007B6589">
        <w:rPr>
          <w:color w:val="000000"/>
          <w:sz w:val="28"/>
          <w:szCs w:val="28"/>
          <w:lang w:bidi="ru-RU"/>
        </w:rPr>
        <w:t>.</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Черный Ключ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Черный Ключ муниципального района Клявлинский Самарской области (далее – администрация).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сельского поселения Черный Ключ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В 202</w:t>
      </w:r>
      <w:r w:rsidR="00562D4B">
        <w:rPr>
          <w:color w:val="000000"/>
          <w:sz w:val="28"/>
          <w:szCs w:val="28"/>
          <w:lang w:bidi="ru-RU"/>
        </w:rPr>
        <w:t>3</w:t>
      </w:r>
      <w:r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Черный Ключ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Черный Ключ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56 «Об утверждении Положения о муниципальном контроле на автомобильном транспорте и в дорожном хозяйстве в границах сельского поселения Черный Ключ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информирование;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4) консультирование;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Администрация также вправе информировать население сельского поселения Черный Ключ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 202</w:t>
      </w:r>
      <w:r w:rsidR="00562D4B">
        <w:rPr>
          <w:color w:val="000000"/>
          <w:sz w:val="28"/>
          <w:szCs w:val="28"/>
          <w:lang w:bidi="ru-RU"/>
        </w:rPr>
        <w:t>3</w:t>
      </w:r>
      <w:r w:rsidRPr="007B6589">
        <w:rPr>
          <w:color w:val="000000"/>
          <w:sz w:val="28"/>
          <w:szCs w:val="28"/>
          <w:lang w:bidi="ru-RU"/>
        </w:rPr>
        <w:t xml:space="preserve"> году проводились профилактические мероприятия в виде информирования в количестве </w:t>
      </w:r>
      <w:r w:rsidR="00562D4B">
        <w:rPr>
          <w:color w:val="000000"/>
          <w:sz w:val="28"/>
          <w:szCs w:val="28"/>
          <w:lang w:bidi="ru-RU"/>
        </w:rPr>
        <w:t>4</w:t>
      </w:r>
      <w:r w:rsidRPr="007B6589">
        <w:rPr>
          <w:color w:val="000000"/>
          <w:sz w:val="28"/>
          <w:szCs w:val="28"/>
          <w:lang w:bidi="ru-RU"/>
        </w:rPr>
        <w:t>.</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Предостережения объявляются (подписываются) главой (заместителем главы) сельского поселения Черный Ключ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CC9" w:rsidRPr="007B6589" w:rsidRDefault="00880CC9"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sectPr w:rsidR="00F43C44"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562D4B">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62D4B"/>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46D21"/>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FD9E-1814-4056-9126-AE649C9D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58</cp:revision>
  <cp:lastPrinted>2022-12-20T09:04:00Z</cp:lastPrinted>
  <dcterms:created xsi:type="dcterms:W3CDTF">2022-12-20T09:15:00Z</dcterms:created>
  <dcterms:modified xsi:type="dcterms:W3CDTF">2024-01-22T10:00:00Z</dcterms:modified>
</cp:coreProperties>
</file>