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24" w:rsidRPr="00850F24" w:rsidRDefault="00850F24" w:rsidP="00850F2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850F24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Проведена оценка регулирующего воздействия проекта приказа министерства транспорта и автомобильных дорог Самарской области «О внесении изменений в приказ министерства транспорта и автомобильных дорог Самарской области от 08.07.2013 № 142</w:t>
      </w:r>
      <w:r w:rsidRPr="00850F24">
        <w:rPr>
          <w:rFonts w:ascii="Arial" w:eastAsia="Times New Roman" w:hAnsi="Arial" w:cs="Arial"/>
          <w:color w:val="545454"/>
          <w:sz w:val="21"/>
          <w:szCs w:val="21"/>
          <w:lang w:eastAsia="ru-RU"/>
        </w:rPr>
        <w:br/>
        <w:t>«Об утверждении Административного регламента предоставления министерством транспорта и автомобильных дорог Самарской области государственной услуги по выдаче специального разрешения на движение по автомобильным дорогам регионального или межмуниципального значения в Самарской области тяжеловесного и</w:t>
      </w:r>
      <w:proofErr w:type="gramEnd"/>
      <w:r w:rsidRPr="00850F24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(</w:t>
      </w:r>
      <w:proofErr w:type="gramStart"/>
      <w:r w:rsidRPr="00850F24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или) крупногабаритного транспортного средства, в случае если маршрут, часть маршрута указанного транспортного средства проходят по автомобильным дорогам регионального или межмуниципального значения в Самарской области,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такого транспортного средства проходит в границах Самарской области и указанные маршрут</w:t>
      </w:r>
      <w:proofErr w:type="gramEnd"/>
      <w:r w:rsidRPr="00850F24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, часть маршрута не проходят по автомобильным дорогам федерального значения, участкам таких автомобильных дорог» (далее – проект приказа).</w:t>
      </w:r>
    </w:p>
    <w:p w:rsidR="00850F24" w:rsidRPr="00850F24" w:rsidRDefault="00850F24" w:rsidP="00850F2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850F24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Проект приказа разработан министерством транспорта и автомобильных дорог Самарской области (далее – орган-разработчик) в целях приведения нормативного правового акта министерства в соответствие с действующим законодательством, в том числе, с изменениями согласно приказа Минтранса России от 06.09.2021 № 298                          «О внесении изменений в приказы Министерства транспорта Российской Федерации                   от 21 сентября 2016 г. № 272 и от 5 июня 2019 г. № 167».</w:t>
      </w:r>
      <w:proofErr w:type="gramEnd"/>
    </w:p>
    <w:p w:rsidR="00850F24" w:rsidRPr="00850F24" w:rsidRDefault="00850F24" w:rsidP="00850F2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850F24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Указанные изменения заключаются, в том числе, в следующем: увеличение сроков выдачи специального разрешения на движение по определенному маршруту крупногабаритной сельскохозяйственной техники (комбайн, трактор) в период с марта по ноябрь в пределах одного муниципального образования; определение случаев выдачи специального разрешения на движение транспортных средств в упрощенном порядке; введение сроков выдачи специального разрешения на движение транспортных средств, выданных в электронной форме;</w:t>
      </w:r>
      <w:proofErr w:type="gramEnd"/>
      <w:r w:rsidRPr="00850F24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определение оснований для принятия решения об отказе в выдаче специального разрешения на движение транспортных средств; введение обязанности информирования заявителя при принятии решения об отказе в выдаче специального разрешения на движение транспортных средств; </w:t>
      </w:r>
      <w:proofErr w:type="spellStart"/>
      <w:r w:rsidRPr="00850F24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предусмотрение</w:t>
      </w:r>
      <w:proofErr w:type="spellEnd"/>
      <w:r w:rsidRPr="00850F24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права заявителя на использование простой электронной подписи при обращении в электронной форме за получением услуги.</w:t>
      </w:r>
    </w:p>
    <w:p w:rsidR="00850F24" w:rsidRPr="00850F24" w:rsidRDefault="00850F24" w:rsidP="00850F2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50F24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Министерством экономического развития и инвестиций Самарской области                 (далее – уполномоченный орган) подготовлено отрицательное заключение об ОРВ по следующему основанию:</w:t>
      </w:r>
    </w:p>
    <w:p w:rsidR="00850F24" w:rsidRPr="00850F24" w:rsidRDefault="00850F24" w:rsidP="00850F2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850F24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- выявлены </w:t>
      </w:r>
      <w:proofErr w:type="spellStart"/>
      <w:r w:rsidRPr="00850F24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коррупциогенные</w:t>
      </w:r>
      <w:proofErr w:type="spellEnd"/>
      <w:r w:rsidRPr="00850F24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факторы, выраженные в неполноте административных процедур – отсутствие порядка совершения государственными органами (должностными лицами) определенных действий либо одного из элементов такого порядка, установление неопределенных требований к гражданам</w:t>
      </w:r>
      <w:r w:rsidRPr="00850F24">
        <w:rPr>
          <w:rFonts w:ascii="Arial" w:eastAsia="Times New Roman" w:hAnsi="Arial" w:cs="Arial"/>
          <w:color w:val="545454"/>
          <w:sz w:val="21"/>
          <w:szCs w:val="21"/>
          <w:lang w:eastAsia="ru-RU"/>
        </w:rPr>
        <w:br/>
        <w:t>и организациям (проект приказа предусматривает необходимость предоставления копий</w:t>
      </w:r>
      <w:proofErr w:type="gramEnd"/>
      <w:r w:rsidRPr="00850F24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документов каждого транспортного средства, с использованием которого планируется поездка при подаче заявления на бумажном носителе. Однако</w:t>
      </w:r>
      <w:proofErr w:type="gramStart"/>
      <w:r w:rsidRPr="00850F24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,</w:t>
      </w:r>
      <w:proofErr w:type="gramEnd"/>
      <w:r w:rsidRPr="00850F24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не урегулирован порядок проверки подтверждения соответствия копий представленных документов оригиналам указанных документов, необходимость их заверения государственным органом, оказывающим услугу либо заявителем).</w:t>
      </w:r>
    </w:p>
    <w:p w:rsidR="00850F24" w:rsidRPr="00850F24" w:rsidRDefault="00850F24" w:rsidP="00850F2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50F24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Принимая во внимание изложенное, органу-разработчику рекомендовано внести соответствующее изменение в проект приказа, урегулировав порядок подтверждения соответствия копий представленных документов оригиналам указанных документов, необходимость их заверения государственным органом, оказывающим услугу или заявителем, и направить в уполномоченный </w:t>
      </w:r>
      <w:proofErr w:type="gramStart"/>
      <w:r w:rsidRPr="00850F24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орган</w:t>
      </w:r>
      <w:proofErr w:type="gramEnd"/>
      <w:r w:rsidRPr="00850F24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доработанный по результатам проведения ОРВ проект приказа, отчет и иные документы для подготовки заключения               об ОРВ.</w:t>
      </w:r>
    </w:p>
    <w:p w:rsidR="00850F24" w:rsidRPr="00850F24" w:rsidRDefault="00850F24" w:rsidP="00850F2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50F24">
        <w:rPr>
          <w:rFonts w:ascii="Arial" w:eastAsia="Times New Roman" w:hAnsi="Arial" w:cs="Arial"/>
          <w:color w:val="545454"/>
          <w:sz w:val="21"/>
          <w:szCs w:val="21"/>
          <w:lang w:eastAsia="ru-RU"/>
        </w:rPr>
        <w:lastRenderedPageBreak/>
        <w:t>В целях устранения замечания, отраженного в заключени</w:t>
      </w:r>
      <w:proofErr w:type="gramStart"/>
      <w:r w:rsidRPr="00850F24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и</w:t>
      </w:r>
      <w:proofErr w:type="gramEnd"/>
      <w:r w:rsidRPr="00850F24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уполномоченного органа, органом - разработчиком введено требование в пункт 2.1.6. приказа о надлежащем заверении предоставляемых заявителем копий документов.</w:t>
      </w:r>
    </w:p>
    <w:p w:rsidR="00850F24" w:rsidRPr="00850F24" w:rsidRDefault="00850F24" w:rsidP="00850F2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50F24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После получения уполномоченным органом, доработанного по результатам проведения ОРВ проекта приказа и отчета, подготовлено положительное заключение.</w:t>
      </w:r>
    </w:p>
    <w:p w:rsidR="00850F24" w:rsidRPr="00850F24" w:rsidRDefault="001757C7" w:rsidP="00850F2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45454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1757C7" w:rsidRDefault="001757C7" w:rsidP="00850F2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C4E84"/>
          <w:sz w:val="21"/>
          <w:szCs w:val="21"/>
          <w:lang w:eastAsia="ru-RU"/>
        </w:rPr>
      </w:pPr>
      <w:hyperlink r:id="rId5" w:history="1">
        <w:r w:rsidR="00850F24" w:rsidRPr="00850F24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>отчет ОРВ</w:t>
        </w:r>
      </w:hyperlink>
      <w:hyperlink r:id="rId6" w:history="1">
        <w:r w:rsidR="00850F24" w:rsidRPr="00850F24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 xml:space="preserve">ПРИКАЗ </w:t>
        </w:r>
        <w:proofErr w:type="spellStart"/>
        <w:r w:rsidR="00850F24" w:rsidRPr="00850F24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>первоначальный</w:t>
        </w:r>
      </w:hyperlink>
      <w:proofErr w:type="spellEnd"/>
    </w:p>
    <w:p w:rsidR="001757C7" w:rsidRDefault="001757C7" w:rsidP="00850F2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C4E84"/>
          <w:sz w:val="21"/>
          <w:szCs w:val="21"/>
          <w:lang w:eastAsia="ru-RU"/>
        </w:rPr>
      </w:pPr>
      <w:hyperlink r:id="rId7" w:history="1">
        <w:r w:rsidR="00850F24" w:rsidRPr="00850F24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 xml:space="preserve">ПРИКАЗ </w:t>
        </w:r>
        <w:proofErr w:type="spellStart"/>
        <w:r w:rsidR="00850F24" w:rsidRPr="00850F24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>окончательный</w:t>
        </w:r>
      </w:hyperlink>
      <w:proofErr w:type="spellEnd"/>
    </w:p>
    <w:p w:rsidR="001757C7" w:rsidRDefault="001757C7" w:rsidP="00850F2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C4E84"/>
          <w:sz w:val="21"/>
          <w:szCs w:val="21"/>
          <w:lang w:eastAsia="ru-RU"/>
        </w:rPr>
      </w:pPr>
      <w:hyperlink r:id="rId8" w:history="1">
        <w:r w:rsidR="00850F24" w:rsidRPr="00850F24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 xml:space="preserve">заключение </w:t>
        </w:r>
        <w:proofErr w:type="spellStart"/>
        <w:r w:rsidR="00850F24" w:rsidRPr="00850F24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>положительное</w:t>
        </w:r>
      </w:hyperlink>
      <w:proofErr w:type="spellEnd"/>
    </w:p>
    <w:p w:rsidR="00850F24" w:rsidRPr="00850F24" w:rsidRDefault="001757C7" w:rsidP="00850F2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hyperlink r:id="rId9" w:history="1">
        <w:r w:rsidR="00850F24" w:rsidRPr="00850F24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>заключение отрицательное</w:t>
        </w:r>
      </w:hyperlink>
    </w:p>
    <w:p w:rsidR="00102DEA" w:rsidRDefault="001757C7">
      <w:r w:rsidRPr="001757C7">
        <w:t>http://orv.gov.ru/Regions/Details/36?cat=19</w:t>
      </w:r>
      <w:bookmarkStart w:id="0" w:name="_GoBack"/>
      <w:bookmarkEnd w:id="0"/>
    </w:p>
    <w:sectPr w:rsidR="0010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E9"/>
    <w:rsid w:val="00102DEA"/>
    <w:rsid w:val="001757C7"/>
    <w:rsid w:val="005270E9"/>
    <w:rsid w:val="0085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0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0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6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v.gov.ru/Files/GetFile?fileid=d5319477-d0bc-463a-83b5-3cdf902746b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v.gov.ru/Files/GetFile?fileid=e5943cdd-1659-4f29-85d3-17433f18d2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v.gov.ru/Files/GetFile?fileid=cdf5dfb0-492d-4495-b4b7-08e92ee99d5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rv.gov.ru/Files/GetFile?fileid=b8199818-434f-48dc-b76c-eb09a98c33b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rv.gov.ru/Files/GetFile?fileid=feef1d04-1108-422b-b6d8-f7d6da852e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2024-02-06T18:02:00Z</dcterms:created>
  <dcterms:modified xsi:type="dcterms:W3CDTF">2024-02-06T19:31:00Z</dcterms:modified>
</cp:coreProperties>
</file>